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charts/chart1.xml" ContentType="application/vnd.openxmlformats-officedocument.drawingml.chart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notesMasterIdLst>
    <p:notesMasterId r:id="rId15"/>
  </p:notesMasterIdLst>
  <p:sldIdLst>
    <p:sldId id="260" r:id="rId2"/>
    <p:sldId id="258" r:id="rId3"/>
    <p:sldId id="277" r:id="rId4"/>
    <p:sldId id="263" r:id="rId5"/>
    <p:sldId id="279" r:id="rId6"/>
    <p:sldId id="289" r:id="rId7"/>
    <p:sldId id="290" r:id="rId8"/>
    <p:sldId id="267" r:id="rId9"/>
    <p:sldId id="291" r:id="rId10"/>
    <p:sldId id="280" r:id="rId11"/>
    <p:sldId id="281" r:id="rId12"/>
    <p:sldId id="292" r:id="rId13"/>
    <p:sldId id="293" r:id="rId14"/>
  </p:sldIdLst>
  <p:sldSz cx="9144000" cy="6858000" type="screen4x3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D113A9D2-9D6B-4929-AA2D-F23B5EE8CBE7}" styleName="Themed Style 2 - Accent 1">
    <a:tblBg>
      <a:fillRef idx="3">
        <a:schemeClr val="accent1"/>
      </a:fillRef>
      <a:effectRef idx="3">
        <a:schemeClr val="accent1"/>
      </a:effectRef>
    </a:tblBg>
    <a:wholeTbl>
      <a:tcTxStyle>
        <a:fontRef idx="minor">
          <a:scrgbClr r="0" g="0" b="0"/>
        </a:fontRef>
        <a:schemeClr val="lt1"/>
      </a:tcTxStyle>
      <a:tcStyle>
        <a:tcBdr>
          <a:left>
            <a:lnRef idx="1">
              <a:schemeClr val="accent1">
                <a:tint val="50000"/>
              </a:schemeClr>
            </a:lnRef>
          </a:left>
          <a:right>
            <a:lnRef idx="1">
              <a:schemeClr val="accent1">
                <a:tint val="50000"/>
              </a:schemeClr>
            </a:lnRef>
          </a:right>
          <a:top>
            <a:lnRef idx="1">
              <a:schemeClr val="accent1">
                <a:tint val="50000"/>
              </a:schemeClr>
            </a:lnRef>
          </a:top>
          <a:bottom>
            <a:lnRef idx="1">
              <a:schemeClr val="accent1">
                <a:tint val="50000"/>
              </a:schemeClr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lt1">
              <a:alpha val="20000"/>
            </a:schemeClr>
          </a:solidFill>
        </a:fill>
      </a:tcStyle>
    </a:band1H>
    <a:band1V>
      <a:tcStyle>
        <a:tcBdr/>
        <a:fill>
          <a:solidFill>
            <a:schemeClr val="lt1">
              <a:alpha val="20000"/>
            </a:schemeClr>
          </a:solidFill>
        </a:fill>
      </a:tcStyle>
    </a:band1V>
    <a:lastCol>
      <a:tcTxStyle b="on"/>
      <a:tcStyle>
        <a:tcBdr>
          <a:left>
            <a:lnRef idx="2">
              <a:schemeClr val="lt1"/>
            </a:lnRef>
          </a:left>
        </a:tcBdr>
      </a:tcStyle>
    </a:lastCol>
    <a:firstCol>
      <a:tcTxStyle b="on"/>
      <a:tcStyle>
        <a:tcBdr>
          <a:right>
            <a:lnRef idx="2">
              <a:schemeClr val="lt1"/>
            </a:lnRef>
          </a:right>
        </a:tcBdr>
      </a:tcStyle>
    </a:firstCol>
    <a:lastRow>
      <a:tcTxStyle b="on"/>
      <a:tcStyle>
        <a:tcBdr>
          <a:top>
            <a:lnRef idx="2">
              <a:schemeClr val="lt1"/>
            </a:lnRef>
          </a:top>
        </a:tcBdr>
        <a:fill>
          <a:noFill/>
        </a:fill>
      </a:tcStyle>
    </a:lastRow>
    <a:seCell>
      <a:tcStyle>
        <a:tcBdr>
          <a:left>
            <a:ln>
              <a:noFill/>
            </a:ln>
          </a:left>
          <a:top>
            <a:ln>
              <a:noFill/>
            </a:ln>
          </a:top>
        </a:tcBdr>
      </a:tcStyle>
    </a:seCell>
    <a:swCell>
      <a:tcStyle>
        <a:tcBdr>
          <a:right>
            <a:ln>
              <a:noFill/>
            </a:ln>
          </a:right>
          <a:top>
            <a:ln>
              <a:noFill/>
            </a:ln>
          </a:top>
        </a:tcBdr>
      </a:tcStyle>
    </a:swCell>
    <a:firstRow>
      <a:tcTxStyle b="on"/>
      <a:tcStyle>
        <a:tcBdr>
          <a:bottom>
            <a:lnRef idx="3">
              <a:schemeClr val="lt1"/>
            </a:lnRef>
          </a:bottom>
        </a:tcBdr>
        <a:fill>
          <a:noFill/>
        </a:fill>
      </a:tcStyle>
    </a:firstRow>
    <a:neCell>
      <a:tcStyle>
        <a:tcBdr>
          <a:bottom>
            <a:ln>
              <a:noFill/>
            </a:ln>
          </a:bottom>
        </a:tcBdr>
      </a:tcStyle>
    </a:neCell>
  </a:tblStyle>
  <a:tblStyle styleId="{3B4B98B0-60AC-42C2-AFA5-B58CD77FA1E5}" styleName="Light Style 1 - Accent 1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12700" cmpd="sng">
              <a:solidFill>
                <a:schemeClr val="accent1"/>
              </a:solidFill>
            </a:ln>
          </a:top>
          <a:bottom>
            <a:ln w="12700" cmpd="sng">
              <a:solidFill>
                <a:schemeClr val="accent1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1">
              <a:alpha val="2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12700" cmpd="sng">
              <a:solidFill>
                <a:schemeClr val="accent1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12700" cmpd="sng">
              <a:solidFill>
                <a:schemeClr val="accent1"/>
              </a:solidFill>
            </a:ln>
          </a:bottom>
        </a:tcBdr>
        <a:fill>
          <a:noFill/>
        </a:fill>
      </a:tcStyle>
    </a:firstRow>
  </a:tblStyle>
  <a:tblStyle styleId="{3C2FFA5D-87B4-456A-9821-1D502468CF0F}" styleName="Themed Style 1 - Accent 1">
    <a:tblBg>
      <a:fillRef idx="2">
        <a:schemeClr val="accent1"/>
      </a:fillRef>
      <a:effectRef idx="1">
        <a:schemeClr val="accent1"/>
      </a:effectRef>
    </a:tblBg>
    <a:wholeTbl>
      <a:tcTxStyle>
        <a:fontRef idx="minor">
          <a:scrgbClr r="0" g="0" b="0"/>
        </a:fontRef>
        <a:schemeClr val="dk1"/>
      </a:tcTxStyle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Ref idx="1">
              <a:schemeClr val="accent1"/>
            </a:lnRef>
          </a:insideH>
          <a:insideV>
            <a:lnRef idx="1">
              <a:schemeClr val="accent1"/>
            </a:lnRef>
          </a:insideV>
        </a:tcBdr>
        <a:fill>
          <a:noFill/>
        </a:fill>
      </a:tcStyle>
    </a:wholeTbl>
    <a:band1H>
      <a:tcStyle>
        <a:tcBdr/>
        <a:fill>
          <a:solidFill>
            <a:schemeClr val="accent1">
              <a:alpha val="40000"/>
            </a:schemeClr>
          </a:solidFill>
        </a:fill>
      </a:tcStyle>
    </a:band1H>
    <a:band2H>
      <a:tcStyle>
        <a:tcBdr/>
      </a:tcStyle>
    </a:band2H>
    <a:band1V>
      <a:tcStyle>
        <a:tcBdr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</a:tcBdr>
        <a:fill>
          <a:solidFill>
            <a:schemeClr val="accent1">
              <a:alpha val="40000"/>
            </a:schemeClr>
          </a:solidFill>
        </a:fill>
      </a:tcStyle>
    </a:band1V>
    <a:band2V>
      <a:tcStyle>
        <a:tcBdr/>
      </a:tcStyle>
    </a:band2V>
    <a:lastCol>
      <a:tcTxStyle b="on"/>
      <a:tcStyle>
        <a:tcBdr>
          <a:left>
            <a:lnRef idx="2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Ref idx="1">
              <a:schemeClr val="accent1"/>
            </a:lnRef>
          </a:insideH>
          <a:insideV>
            <a:ln>
              <a:noFill/>
            </a:ln>
          </a:insideV>
        </a:tcBdr>
      </a:tcStyle>
    </a:lastCol>
    <a:firstCol>
      <a:tcTxStyle b="on"/>
      <a:tcStyle>
        <a:tcBdr>
          <a:left>
            <a:lnRef idx="1">
              <a:schemeClr val="accent1"/>
            </a:lnRef>
          </a:left>
          <a:right>
            <a:lnRef idx="2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Ref idx="1">
              <a:schemeClr val="accent1"/>
            </a:lnRef>
          </a:insideH>
          <a:insideV>
            <a:ln>
              <a:noFill/>
            </a:ln>
          </a:insideV>
        </a:tcBdr>
      </a:tcStyle>
    </a:firstCol>
    <a:lastRow>
      <a:tcTxStyle b="on"/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2">
              <a:schemeClr val="accent1"/>
            </a:lnRef>
          </a:top>
          <a:bottom>
            <a:lnRef idx="2">
              <a:schemeClr val="accent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lastRow>
    <a:firstRow>
      <a:tcTxStyle b="on">
        <a:fontRef idx="minor">
          <a:scrgbClr r="0" g="0" b="0"/>
        </a:fontRef>
        <a:schemeClr val="lt1"/>
      </a:tcTxStyle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2">
              <a:schemeClr val="lt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solidFill>
            <a:schemeClr val="accent1"/>
          </a:solidFill>
        </a:fill>
      </a:tcStyle>
    </a:firstRow>
  </a:tblStyle>
  <a:tblStyle styleId="{BDBED569-4797-4DF1-A0F4-6AAB3CD982D8}" styleName="Light Style 3 - Accent 5">
    <a:wholeTbl>
      <a:tcTxStyle>
        <a:fontRef idx="minor">
          <a:scrgbClr r="0" g="0" b="0"/>
        </a:fontRef>
        <a:schemeClr val="tx1"/>
      </a:tcTxStyle>
      <a:tcStyle>
        <a:tcBdr>
          <a:left>
            <a:ln w="12700" cmpd="sng">
              <a:solidFill>
                <a:schemeClr val="accent5"/>
              </a:solidFill>
            </a:ln>
          </a:left>
          <a:right>
            <a:ln w="12700" cmpd="sng">
              <a:solidFill>
                <a:schemeClr val="accent5"/>
              </a:solidFill>
            </a:ln>
          </a:right>
          <a:top>
            <a:ln w="12700" cmpd="sng">
              <a:solidFill>
                <a:schemeClr val="accent5"/>
              </a:solidFill>
            </a:ln>
          </a:top>
          <a:bottom>
            <a:ln w="12700" cmpd="sng">
              <a:solidFill>
                <a:schemeClr val="accent5"/>
              </a:solidFill>
            </a:ln>
          </a:bottom>
          <a:insideH>
            <a:ln w="12700" cmpd="sng">
              <a:solidFill>
                <a:schemeClr val="accent5"/>
              </a:solidFill>
            </a:ln>
          </a:insideH>
          <a:insideV>
            <a:ln w="12700" cmpd="sng">
              <a:solidFill>
                <a:schemeClr val="accent5"/>
              </a:solidFill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5">
              <a:alpha val="20000"/>
            </a:schemeClr>
          </a:solidFill>
        </a:fill>
      </a:tcStyle>
    </a:band1H>
    <a:band1V>
      <a:tcStyle>
        <a:tcBdr/>
        <a:fill>
          <a:solidFill>
            <a:schemeClr val="accent5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5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25400" cmpd="sng">
              <a:solidFill>
                <a:schemeClr val="accent5"/>
              </a:solidFill>
            </a:ln>
          </a:bottom>
        </a:tcBdr>
        <a:fill>
          <a:noFill/>
        </a:fill>
      </a:tcStyle>
    </a:firstRow>
  </a:tblStyle>
  <a:tblStyle styleId="{18603FDC-E32A-4AB5-989C-0864C3EAD2B8}" styleName="Themed Style 2 - Accent 2">
    <a:tblBg>
      <a:fillRef idx="3">
        <a:schemeClr val="accent2"/>
      </a:fillRef>
      <a:effectRef idx="3">
        <a:schemeClr val="accent2"/>
      </a:effectRef>
    </a:tblBg>
    <a:wholeTbl>
      <a:tcTxStyle>
        <a:fontRef idx="minor">
          <a:scrgbClr r="0" g="0" b="0"/>
        </a:fontRef>
        <a:schemeClr val="lt1"/>
      </a:tcTxStyle>
      <a:tcStyle>
        <a:tcBdr>
          <a:left>
            <a:lnRef idx="1">
              <a:schemeClr val="accent2">
                <a:tint val="50000"/>
              </a:schemeClr>
            </a:lnRef>
          </a:left>
          <a:right>
            <a:lnRef idx="1">
              <a:schemeClr val="accent2">
                <a:tint val="50000"/>
              </a:schemeClr>
            </a:lnRef>
          </a:right>
          <a:top>
            <a:lnRef idx="1">
              <a:schemeClr val="accent2">
                <a:tint val="50000"/>
              </a:schemeClr>
            </a:lnRef>
          </a:top>
          <a:bottom>
            <a:lnRef idx="1">
              <a:schemeClr val="accent2">
                <a:tint val="50000"/>
              </a:schemeClr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lt1">
              <a:alpha val="20000"/>
            </a:schemeClr>
          </a:solidFill>
        </a:fill>
      </a:tcStyle>
    </a:band1H>
    <a:band1V>
      <a:tcStyle>
        <a:tcBdr/>
        <a:fill>
          <a:solidFill>
            <a:schemeClr val="lt1">
              <a:alpha val="20000"/>
            </a:schemeClr>
          </a:solidFill>
        </a:fill>
      </a:tcStyle>
    </a:band1V>
    <a:lastCol>
      <a:tcTxStyle b="on"/>
      <a:tcStyle>
        <a:tcBdr>
          <a:left>
            <a:lnRef idx="2">
              <a:schemeClr val="lt1"/>
            </a:lnRef>
          </a:left>
        </a:tcBdr>
      </a:tcStyle>
    </a:lastCol>
    <a:firstCol>
      <a:tcTxStyle b="on"/>
      <a:tcStyle>
        <a:tcBdr>
          <a:right>
            <a:lnRef idx="2">
              <a:schemeClr val="lt1"/>
            </a:lnRef>
          </a:right>
        </a:tcBdr>
      </a:tcStyle>
    </a:firstCol>
    <a:lastRow>
      <a:tcTxStyle b="on"/>
      <a:tcStyle>
        <a:tcBdr>
          <a:top>
            <a:lnRef idx="2">
              <a:schemeClr val="lt1"/>
            </a:lnRef>
          </a:top>
        </a:tcBdr>
        <a:fill>
          <a:noFill/>
        </a:fill>
      </a:tcStyle>
    </a:lastRow>
    <a:seCell>
      <a:tcStyle>
        <a:tcBdr>
          <a:left>
            <a:ln>
              <a:noFill/>
            </a:ln>
          </a:left>
          <a:top>
            <a:ln>
              <a:noFill/>
            </a:ln>
          </a:top>
        </a:tcBdr>
      </a:tcStyle>
    </a:seCell>
    <a:swCell>
      <a:tcStyle>
        <a:tcBdr>
          <a:right>
            <a:ln>
              <a:noFill/>
            </a:ln>
          </a:right>
          <a:top>
            <a:ln>
              <a:noFill/>
            </a:ln>
          </a:top>
        </a:tcBdr>
      </a:tcStyle>
    </a:swCell>
    <a:firstRow>
      <a:tcTxStyle b="on"/>
      <a:tcStyle>
        <a:tcBdr>
          <a:bottom>
            <a:lnRef idx="3">
              <a:schemeClr val="lt1"/>
            </a:lnRef>
          </a:bottom>
        </a:tcBdr>
        <a:fill>
          <a:noFill/>
        </a:fill>
      </a:tcStyle>
    </a:firstRow>
    <a:neCell>
      <a:tcStyle>
        <a:tcBdr>
          <a:bottom>
            <a:ln>
              <a:noFill/>
            </a:ln>
          </a:bottom>
        </a:tcBdr>
      </a:tcStyle>
    </a:neCell>
  </a:tblStyle>
  <a:tblStyle styleId="{306799F8-075E-4A3A-A7F6-7FBC6576F1A4}" styleName="Themed Style 2 - Accent 3">
    <a:tblBg>
      <a:fillRef idx="3">
        <a:schemeClr val="accent3"/>
      </a:fillRef>
      <a:effectRef idx="3">
        <a:schemeClr val="accent3"/>
      </a:effectRef>
    </a:tblBg>
    <a:wholeTbl>
      <a:tcTxStyle>
        <a:fontRef idx="minor">
          <a:scrgbClr r="0" g="0" b="0"/>
        </a:fontRef>
        <a:schemeClr val="lt1"/>
      </a:tcTxStyle>
      <a:tcStyle>
        <a:tcBdr>
          <a:left>
            <a:lnRef idx="1">
              <a:schemeClr val="accent3">
                <a:tint val="50000"/>
              </a:schemeClr>
            </a:lnRef>
          </a:left>
          <a:right>
            <a:lnRef idx="1">
              <a:schemeClr val="accent3">
                <a:tint val="50000"/>
              </a:schemeClr>
            </a:lnRef>
          </a:right>
          <a:top>
            <a:lnRef idx="1">
              <a:schemeClr val="accent3">
                <a:tint val="50000"/>
              </a:schemeClr>
            </a:lnRef>
          </a:top>
          <a:bottom>
            <a:lnRef idx="1">
              <a:schemeClr val="accent3">
                <a:tint val="50000"/>
              </a:schemeClr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lt1">
              <a:alpha val="20000"/>
            </a:schemeClr>
          </a:solidFill>
        </a:fill>
      </a:tcStyle>
    </a:band1H>
    <a:band1V>
      <a:tcStyle>
        <a:tcBdr/>
        <a:fill>
          <a:solidFill>
            <a:schemeClr val="lt1">
              <a:alpha val="20000"/>
            </a:schemeClr>
          </a:solidFill>
        </a:fill>
      </a:tcStyle>
    </a:band1V>
    <a:lastCol>
      <a:tcTxStyle b="on"/>
      <a:tcStyle>
        <a:tcBdr>
          <a:left>
            <a:lnRef idx="2">
              <a:schemeClr val="lt1"/>
            </a:lnRef>
          </a:left>
        </a:tcBdr>
      </a:tcStyle>
    </a:lastCol>
    <a:firstCol>
      <a:tcTxStyle b="on"/>
      <a:tcStyle>
        <a:tcBdr>
          <a:right>
            <a:lnRef idx="2">
              <a:schemeClr val="lt1"/>
            </a:lnRef>
          </a:right>
        </a:tcBdr>
      </a:tcStyle>
    </a:firstCol>
    <a:lastRow>
      <a:tcTxStyle b="on"/>
      <a:tcStyle>
        <a:tcBdr>
          <a:top>
            <a:lnRef idx="2">
              <a:schemeClr val="lt1"/>
            </a:lnRef>
          </a:top>
        </a:tcBdr>
        <a:fill>
          <a:noFill/>
        </a:fill>
      </a:tcStyle>
    </a:lastRow>
    <a:seCell>
      <a:tcStyle>
        <a:tcBdr>
          <a:left>
            <a:ln>
              <a:noFill/>
            </a:ln>
          </a:left>
          <a:top>
            <a:ln>
              <a:noFill/>
            </a:ln>
          </a:top>
        </a:tcBdr>
      </a:tcStyle>
    </a:seCell>
    <a:swCell>
      <a:tcStyle>
        <a:tcBdr>
          <a:right>
            <a:ln>
              <a:noFill/>
            </a:ln>
          </a:right>
          <a:top>
            <a:ln>
              <a:noFill/>
            </a:ln>
          </a:top>
        </a:tcBdr>
      </a:tcStyle>
    </a:swCell>
    <a:firstRow>
      <a:tcTxStyle b="on"/>
      <a:tcStyle>
        <a:tcBdr>
          <a:bottom>
            <a:lnRef idx="3">
              <a:schemeClr val="lt1"/>
            </a:lnRef>
          </a:bottom>
        </a:tcBdr>
        <a:fill>
          <a:noFill/>
        </a:fill>
      </a:tcStyle>
    </a:firstRow>
    <a:neCell>
      <a:tcStyle>
        <a:tcBdr>
          <a:bottom>
            <a:ln>
              <a:noFill/>
            </a:ln>
          </a:bottom>
        </a:tcBdr>
      </a:tcStyle>
    </a:neCell>
  </a:tblStyle>
  <a:tblStyle styleId="{E269D01E-BC32-4049-B463-5C60D7B0CCD2}" styleName="Themed Style 2 - Accent 4">
    <a:tblBg>
      <a:fillRef idx="3">
        <a:schemeClr val="accent4"/>
      </a:fillRef>
      <a:effectRef idx="3">
        <a:schemeClr val="accent4"/>
      </a:effectRef>
    </a:tblBg>
    <a:wholeTbl>
      <a:tcTxStyle>
        <a:fontRef idx="minor">
          <a:scrgbClr r="0" g="0" b="0"/>
        </a:fontRef>
        <a:schemeClr val="lt1"/>
      </a:tcTxStyle>
      <a:tcStyle>
        <a:tcBdr>
          <a:left>
            <a:lnRef idx="1">
              <a:schemeClr val="accent4">
                <a:tint val="50000"/>
              </a:schemeClr>
            </a:lnRef>
          </a:left>
          <a:right>
            <a:lnRef idx="1">
              <a:schemeClr val="accent4">
                <a:tint val="50000"/>
              </a:schemeClr>
            </a:lnRef>
          </a:right>
          <a:top>
            <a:lnRef idx="1">
              <a:schemeClr val="accent4">
                <a:tint val="50000"/>
              </a:schemeClr>
            </a:lnRef>
          </a:top>
          <a:bottom>
            <a:lnRef idx="1">
              <a:schemeClr val="accent4">
                <a:tint val="50000"/>
              </a:schemeClr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lt1">
              <a:alpha val="20000"/>
            </a:schemeClr>
          </a:solidFill>
        </a:fill>
      </a:tcStyle>
    </a:band1H>
    <a:band1V>
      <a:tcStyle>
        <a:tcBdr/>
        <a:fill>
          <a:solidFill>
            <a:schemeClr val="lt1">
              <a:alpha val="20000"/>
            </a:schemeClr>
          </a:solidFill>
        </a:fill>
      </a:tcStyle>
    </a:band1V>
    <a:lastCol>
      <a:tcTxStyle b="on"/>
      <a:tcStyle>
        <a:tcBdr>
          <a:left>
            <a:lnRef idx="2">
              <a:schemeClr val="lt1"/>
            </a:lnRef>
          </a:left>
        </a:tcBdr>
      </a:tcStyle>
    </a:lastCol>
    <a:firstCol>
      <a:tcTxStyle b="on"/>
      <a:tcStyle>
        <a:tcBdr>
          <a:right>
            <a:lnRef idx="2">
              <a:schemeClr val="lt1"/>
            </a:lnRef>
          </a:right>
        </a:tcBdr>
      </a:tcStyle>
    </a:firstCol>
    <a:lastRow>
      <a:tcTxStyle b="on"/>
      <a:tcStyle>
        <a:tcBdr>
          <a:top>
            <a:lnRef idx="2">
              <a:schemeClr val="lt1"/>
            </a:lnRef>
          </a:top>
        </a:tcBdr>
        <a:fill>
          <a:noFill/>
        </a:fill>
      </a:tcStyle>
    </a:lastRow>
    <a:seCell>
      <a:tcStyle>
        <a:tcBdr>
          <a:left>
            <a:ln>
              <a:noFill/>
            </a:ln>
          </a:left>
          <a:top>
            <a:ln>
              <a:noFill/>
            </a:ln>
          </a:top>
        </a:tcBdr>
      </a:tcStyle>
    </a:seCell>
    <a:swCell>
      <a:tcStyle>
        <a:tcBdr>
          <a:right>
            <a:ln>
              <a:noFill/>
            </a:ln>
          </a:right>
          <a:top>
            <a:ln>
              <a:noFill/>
            </a:ln>
          </a:top>
        </a:tcBdr>
      </a:tcStyle>
    </a:swCell>
    <a:firstRow>
      <a:tcTxStyle b="on"/>
      <a:tcStyle>
        <a:tcBdr>
          <a:bottom>
            <a:lnRef idx="3">
              <a:schemeClr val="lt1"/>
            </a:lnRef>
          </a:bottom>
        </a:tcBdr>
        <a:fill>
          <a:noFill/>
        </a:fill>
      </a:tcStyle>
    </a:firstRow>
    <a:neCell>
      <a:tcStyle>
        <a:tcBdr>
          <a:bottom>
            <a:ln>
              <a:noFill/>
            </a:ln>
          </a:bottom>
        </a:tcBdr>
      </a:tcStyle>
    </a:neCell>
  </a:tblStyle>
  <a:tblStyle styleId="{327F97BB-C833-4FB7-BDE5-3F7075034690}" styleName="Themed Style 2 - Accent 5">
    <a:tblBg>
      <a:fillRef idx="3">
        <a:schemeClr val="accent5"/>
      </a:fillRef>
      <a:effectRef idx="3">
        <a:schemeClr val="accent5"/>
      </a:effectRef>
    </a:tblBg>
    <a:wholeTbl>
      <a:tcTxStyle>
        <a:fontRef idx="minor">
          <a:scrgbClr r="0" g="0" b="0"/>
        </a:fontRef>
        <a:schemeClr val="lt1"/>
      </a:tcTxStyle>
      <a:tcStyle>
        <a:tcBdr>
          <a:left>
            <a:lnRef idx="1">
              <a:schemeClr val="accent5">
                <a:tint val="50000"/>
              </a:schemeClr>
            </a:lnRef>
          </a:left>
          <a:right>
            <a:lnRef idx="1">
              <a:schemeClr val="accent5">
                <a:tint val="50000"/>
              </a:schemeClr>
            </a:lnRef>
          </a:right>
          <a:top>
            <a:lnRef idx="1">
              <a:schemeClr val="accent5">
                <a:tint val="50000"/>
              </a:schemeClr>
            </a:lnRef>
          </a:top>
          <a:bottom>
            <a:lnRef idx="1">
              <a:schemeClr val="accent5">
                <a:tint val="50000"/>
              </a:schemeClr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lt1">
              <a:alpha val="20000"/>
            </a:schemeClr>
          </a:solidFill>
        </a:fill>
      </a:tcStyle>
    </a:band1H>
    <a:band1V>
      <a:tcStyle>
        <a:tcBdr/>
        <a:fill>
          <a:solidFill>
            <a:schemeClr val="lt1">
              <a:alpha val="20000"/>
            </a:schemeClr>
          </a:solidFill>
        </a:fill>
      </a:tcStyle>
    </a:band1V>
    <a:lastCol>
      <a:tcTxStyle b="on"/>
      <a:tcStyle>
        <a:tcBdr>
          <a:left>
            <a:lnRef idx="2">
              <a:schemeClr val="lt1"/>
            </a:lnRef>
          </a:left>
        </a:tcBdr>
      </a:tcStyle>
    </a:lastCol>
    <a:firstCol>
      <a:tcTxStyle b="on"/>
      <a:tcStyle>
        <a:tcBdr>
          <a:right>
            <a:lnRef idx="2">
              <a:schemeClr val="lt1"/>
            </a:lnRef>
          </a:right>
        </a:tcBdr>
      </a:tcStyle>
    </a:firstCol>
    <a:lastRow>
      <a:tcTxStyle b="on"/>
      <a:tcStyle>
        <a:tcBdr>
          <a:top>
            <a:lnRef idx="2">
              <a:schemeClr val="lt1"/>
            </a:lnRef>
          </a:top>
        </a:tcBdr>
        <a:fill>
          <a:noFill/>
        </a:fill>
      </a:tcStyle>
    </a:lastRow>
    <a:seCell>
      <a:tcStyle>
        <a:tcBdr>
          <a:left>
            <a:ln>
              <a:noFill/>
            </a:ln>
          </a:left>
          <a:top>
            <a:ln>
              <a:noFill/>
            </a:ln>
          </a:top>
        </a:tcBdr>
      </a:tcStyle>
    </a:seCell>
    <a:swCell>
      <a:tcStyle>
        <a:tcBdr>
          <a:right>
            <a:ln>
              <a:noFill/>
            </a:ln>
          </a:right>
          <a:top>
            <a:ln>
              <a:noFill/>
            </a:ln>
          </a:top>
        </a:tcBdr>
      </a:tcStyle>
    </a:swCell>
    <a:firstRow>
      <a:tcTxStyle b="on"/>
      <a:tcStyle>
        <a:tcBdr>
          <a:bottom>
            <a:lnRef idx="3">
              <a:schemeClr val="lt1"/>
            </a:lnRef>
          </a:bottom>
        </a:tcBdr>
        <a:fill>
          <a:noFill/>
        </a:fill>
      </a:tcStyle>
    </a:firstRow>
    <a:neCell>
      <a:tcStyle>
        <a:tcBdr>
          <a:bottom>
            <a:ln>
              <a:noFill/>
            </a:ln>
          </a:bottom>
        </a:tcBdr>
      </a:tcStyle>
    </a:neCell>
  </a:tblStyle>
  <a:tblStyle styleId="{C4B1156A-380E-4F78-BDF5-A606A8083BF9}" styleName="Medium Style 4 - Accent 4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accent4"/>
              </a:solidFill>
            </a:ln>
          </a:left>
          <a:right>
            <a:ln w="12700" cmpd="sng">
              <a:solidFill>
                <a:schemeClr val="accent4"/>
              </a:solidFill>
            </a:ln>
          </a:right>
          <a:top>
            <a:ln w="12700" cmpd="sng">
              <a:solidFill>
                <a:schemeClr val="accent4"/>
              </a:solidFill>
            </a:ln>
          </a:top>
          <a:bottom>
            <a:ln w="12700" cmpd="sng">
              <a:solidFill>
                <a:schemeClr val="accent4"/>
              </a:solidFill>
            </a:ln>
          </a:bottom>
          <a:insideH>
            <a:ln w="12700" cmpd="sng">
              <a:solidFill>
                <a:schemeClr val="accent4"/>
              </a:solidFill>
            </a:ln>
          </a:insideH>
          <a:insideV>
            <a:ln w="12700" cmpd="sng">
              <a:solidFill>
                <a:schemeClr val="accent4"/>
              </a:solidFill>
            </a:ln>
          </a:insideV>
        </a:tcBdr>
        <a:fill>
          <a:solidFill>
            <a:schemeClr val="accent4">
              <a:tint val="20000"/>
            </a:schemeClr>
          </a:solidFill>
        </a:fill>
      </a:tcStyle>
    </a:wholeTbl>
    <a:band1H>
      <a:tcStyle>
        <a:tcBdr/>
        <a:fill>
          <a:solidFill>
            <a:schemeClr val="accent4">
              <a:tint val="40000"/>
            </a:schemeClr>
          </a:solidFill>
        </a:fill>
      </a:tcStyle>
    </a:band1H>
    <a:band1V>
      <a:tcStyle>
        <a:tcBdr/>
        <a:fill>
          <a:solidFill>
            <a:schemeClr val="accent4">
              <a:tint val="4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25400" cmpd="sng">
              <a:solidFill>
                <a:schemeClr val="accent4"/>
              </a:solidFill>
            </a:ln>
          </a:top>
        </a:tcBdr>
        <a:fill>
          <a:solidFill>
            <a:schemeClr val="accent4">
              <a:tint val="20000"/>
            </a:schemeClr>
          </a:solidFill>
        </a:fill>
      </a:tcStyle>
    </a:lastRow>
    <a:firstRow>
      <a:tcTxStyle b="on"/>
      <a:tcStyle>
        <a:tcBdr/>
        <a:fill>
          <a:solidFill>
            <a:schemeClr val="accent4">
              <a:tint val="20000"/>
            </a:schemeClr>
          </a:solidFill>
        </a:fill>
      </a:tcStyle>
    </a:firstRow>
  </a:tblStyle>
  <a:tblStyle styleId="{AF606853-7671-496A-8E4F-DF71F8EC918B}" styleName="Dark Style 1 - Accent 6">
    <a:wholeTbl>
      <a:tcTxStyle>
        <a:fontRef idx="minor">
          <a:scrgbClr r="0" g="0" b="0"/>
        </a:fontRef>
        <a:schemeClr val="lt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>
              <a:noFill/>
            </a:ln>
          </a:top>
          <a:bottom>
            <a:ln>
              <a:noFill/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solidFill>
            <a:schemeClr val="accent6"/>
          </a:solidFill>
        </a:fill>
      </a:tcStyle>
    </a:wholeTbl>
    <a:band1H>
      <a:tcStyle>
        <a:tcBdr/>
        <a:fill>
          <a:solidFill>
            <a:schemeClr val="accent6">
              <a:shade val="60000"/>
            </a:schemeClr>
          </a:solidFill>
        </a:fill>
      </a:tcStyle>
    </a:band1H>
    <a:band1V>
      <a:tcStyle>
        <a:tcBdr/>
        <a:fill>
          <a:solidFill>
            <a:schemeClr val="accent6">
              <a:shade val="60000"/>
            </a:schemeClr>
          </a:solidFill>
        </a:fill>
      </a:tcStyle>
    </a:band1V>
    <a:lastCol>
      <a:tcTxStyle b="on"/>
      <a:tcStyle>
        <a:tcBdr>
          <a:left>
            <a:ln w="25400" cmpd="sng">
              <a:solidFill>
                <a:schemeClr val="lt1"/>
              </a:solidFill>
            </a:ln>
          </a:left>
        </a:tcBdr>
        <a:fill>
          <a:solidFill>
            <a:schemeClr val="accent6">
              <a:shade val="60000"/>
            </a:schemeClr>
          </a:solidFill>
        </a:fill>
      </a:tcStyle>
    </a:lastCol>
    <a:firstCol>
      <a:tcTxStyle b="on"/>
      <a:tcStyle>
        <a:tcBdr>
          <a:right>
            <a:ln w="25400" cmpd="sng">
              <a:solidFill>
                <a:schemeClr val="lt1"/>
              </a:solidFill>
            </a:ln>
          </a:right>
        </a:tcBdr>
        <a:fill>
          <a:solidFill>
            <a:schemeClr val="accent6">
              <a:shade val="60000"/>
            </a:schemeClr>
          </a:solidFill>
        </a:fill>
      </a:tcStyle>
    </a:firstCol>
    <a:lastRow>
      <a:tcTxStyle b="on"/>
      <a:tcStyle>
        <a:tcBdr>
          <a:top>
            <a:ln w="25400" cmpd="sng">
              <a:solidFill>
                <a:schemeClr val="lt1"/>
              </a:solidFill>
            </a:ln>
          </a:top>
        </a:tcBdr>
        <a:fill>
          <a:solidFill>
            <a:schemeClr val="accent6">
              <a:shade val="40000"/>
            </a:schemeClr>
          </a:solidFill>
        </a:fill>
      </a:tcStyle>
    </a:lastRow>
    <a:seCell>
      <a:tcStyle>
        <a:tcBdr>
          <a:left>
            <a:ln>
              <a:noFill/>
            </a:ln>
          </a:left>
        </a:tcBdr>
      </a:tcStyle>
    </a:seCell>
    <a:swCell>
      <a:tcStyle>
        <a:tcBdr>
          <a:right>
            <a:ln>
              <a:noFill/>
            </a:ln>
          </a:right>
        </a:tcBdr>
      </a:tcStyle>
    </a:swCell>
    <a:firstRow>
      <a:tcTxStyle b="on"/>
      <a:tcStyle>
        <a:tcBdr>
          <a:bottom>
            <a:ln w="25400" cmpd="sng">
              <a:solidFill>
                <a:schemeClr val="lt1"/>
              </a:solidFill>
            </a:ln>
          </a:bottom>
        </a:tcBdr>
        <a:fill>
          <a:solidFill>
            <a:schemeClr val="dk1"/>
          </a:solidFill>
        </a:fill>
      </a:tcStyle>
    </a:firstRow>
    <a:neCell>
      <a:tcStyle>
        <a:tcBdr>
          <a:left>
            <a:ln>
              <a:noFill/>
            </a:ln>
          </a:left>
        </a:tcBdr>
      </a:tcStyle>
    </a:neCell>
    <a:nwCell>
      <a:tcStyle>
        <a:tcBdr>
          <a:right>
            <a:ln>
              <a:noFill/>
            </a:ln>
          </a:right>
        </a:tcBdr>
      </a:tcStyle>
    </a:nwCell>
  </a:tblStyle>
  <a:tblStyle styleId="{E8B1032C-EA38-4F05-BA0D-38AFFFC7BED3}" styleName="Light Style 3 - Accent 6">
    <a:wholeTbl>
      <a:tcTxStyle>
        <a:fontRef idx="minor">
          <a:scrgbClr r="0" g="0" b="0"/>
        </a:fontRef>
        <a:schemeClr val="tx1"/>
      </a:tcTxStyle>
      <a:tcStyle>
        <a:tcBdr>
          <a:left>
            <a:ln w="12700" cmpd="sng">
              <a:solidFill>
                <a:schemeClr val="accent6"/>
              </a:solidFill>
            </a:ln>
          </a:left>
          <a:right>
            <a:ln w="12700" cmpd="sng">
              <a:solidFill>
                <a:schemeClr val="accent6"/>
              </a:solidFill>
            </a:ln>
          </a:right>
          <a:top>
            <a:ln w="12700" cmpd="sng">
              <a:solidFill>
                <a:schemeClr val="accent6"/>
              </a:solidFill>
            </a:ln>
          </a:top>
          <a:bottom>
            <a:ln w="12700" cmpd="sng">
              <a:solidFill>
                <a:schemeClr val="accent6"/>
              </a:solidFill>
            </a:ln>
          </a:bottom>
          <a:insideH>
            <a:ln w="12700" cmpd="sng">
              <a:solidFill>
                <a:schemeClr val="accent6"/>
              </a:solidFill>
            </a:ln>
          </a:insideH>
          <a:insideV>
            <a:ln w="12700" cmpd="sng">
              <a:solidFill>
                <a:schemeClr val="accent6"/>
              </a:solidFill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6">
              <a:alpha val="20000"/>
            </a:schemeClr>
          </a:solidFill>
        </a:fill>
      </a:tcStyle>
    </a:band1H>
    <a:band1V>
      <a:tcStyle>
        <a:tcBdr/>
        <a:fill>
          <a:solidFill>
            <a:schemeClr val="accent6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6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25400" cmpd="sng">
              <a:solidFill>
                <a:schemeClr val="accent6"/>
              </a:solidFill>
            </a:ln>
          </a:bottom>
        </a:tcBdr>
        <a:fill>
          <a:noFill/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5620"/>
    <p:restoredTop sz="94660"/>
  </p:normalViewPr>
  <p:slideViewPr>
    <p:cSldViewPr>
      <p:cViewPr varScale="1">
        <p:scale>
          <a:sx n="107" d="100"/>
          <a:sy n="107" d="100"/>
        </p:scale>
        <p:origin x="-1098" y="348"/>
      </p:cViewPr>
      <p:guideLst>
        <p:guide orient="horz" pos="2160"/>
        <p:guide pos="288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6200" cy="7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presProps" Target="pres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notesMaster" Target="notesMasters/notesMaster1.xml"/><Relationship Id="rId10" Type="http://schemas.openxmlformats.org/officeDocument/2006/relationships/slide" Target="slides/slide9.xml"/><Relationship Id="rId19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/Relationships>
</file>

<file path=ppt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ppt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ubbleChart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        E. Asia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8.4876543209876545E-2"/>
                  <c:y val="-0.10951584824935541"/>
                </c:manualLayout>
              </c:layout>
              <c:tx>
                <c:rich>
                  <a:bodyPr/>
                  <a:lstStyle/>
                  <a:p>
                    <a:r>
                      <a:rPr lang="en-US" dirty="0" smtClean="0"/>
                      <a:t>     </a:t>
                    </a:r>
                    <a:r>
                      <a:rPr lang="en-US" dirty="0"/>
                      <a:t>E. Asia,  </a:t>
                    </a:r>
                    <a:r>
                      <a:rPr lang="en-US" dirty="0" smtClean="0"/>
                      <a:t>238 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1"/>
            </c:dLbl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Sheet1!$B$2</c:f>
              <c:numCache>
                <c:formatCode>0</c:formatCode>
                <c:ptCount val="1"/>
                <c:pt idx="0">
                  <c:v>20.77</c:v>
                </c:pt>
              </c:numCache>
            </c:numRef>
          </c:xVal>
          <c:yVal>
            <c:numRef>
              <c:f>Sheet1!$C$2</c:f>
              <c:numCache>
                <c:formatCode>0</c:formatCode>
                <c:ptCount val="1"/>
                <c:pt idx="0">
                  <c:v>50.173429882116103</c:v>
                </c:pt>
              </c:numCache>
            </c:numRef>
          </c:yVal>
          <c:bubbleSize>
            <c:numRef>
              <c:f>Sheet1!$D$2</c:f>
              <c:numCache>
                <c:formatCode>_(* #,##0_);_(* \(#,##0\);_(* "-"??_);_(@_)</c:formatCode>
                <c:ptCount val="1"/>
                <c:pt idx="0">
                  <c:v>238061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        Europe</c:v>
                </c:pt>
              </c:strCache>
            </c:strRef>
          </c:tx>
          <c:spPr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0.13425925925925927"/>
                  <c:y val="-7.4791310999559796E-2"/>
                </c:manualLayout>
              </c:layout>
              <c:tx>
                <c:rich>
                  <a:bodyPr/>
                  <a:lstStyle/>
                  <a:p>
                    <a:pPr>
                      <a:defRPr sz="1400"/>
                    </a:pPr>
                    <a:r>
                      <a:rPr lang="en-US" dirty="0"/>
                      <a:t>         Europe,  </a:t>
                    </a:r>
                    <a:r>
                      <a:rPr lang="en-US" dirty="0" smtClean="0"/>
                      <a:t>34 </a:t>
                    </a:r>
                    <a:endParaRPr lang="en-US" dirty="0"/>
                  </a:p>
                </c:rich>
              </c:tx>
              <c:spPr/>
              <c:showLegendKey val="0"/>
              <c:showVal val="0"/>
              <c:showCatName val="0"/>
              <c:showSerName val="1"/>
              <c:showPercent val="0"/>
              <c:showBubbleSiz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Sheet1!$B$3</c:f>
              <c:numCache>
                <c:formatCode>0</c:formatCode>
                <c:ptCount val="1"/>
                <c:pt idx="0">
                  <c:v>2.95</c:v>
                </c:pt>
              </c:numCache>
            </c:numRef>
          </c:xVal>
          <c:yVal>
            <c:numRef>
              <c:f>Sheet1!$C$3</c:f>
              <c:numCache>
                <c:formatCode>0</c:formatCode>
                <c:ptCount val="1"/>
                <c:pt idx="0">
                  <c:v>72.779090863035904</c:v>
                </c:pt>
              </c:numCache>
            </c:numRef>
          </c:yVal>
          <c:bubbleSize>
            <c:numRef>
              <c:f>Sheet1!$D$3</c:f>
              <c:numCache>
                <c:formatCode>_(* #,##0_);_(* \(#,##0\);_(* "-"??_);_(@_)</c:formatCode>
                <c:ptCount val="1"/>
                <c:pt idx="0">
                  <c:v>33756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LAC</c:v>
                </c:pt>
              </c:strCache>
            </c:strRef>
          </c:tx>
          <c:spPr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6.1728395061727828E-3"/>
                  <c:y val="-4.27378919997484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LAC,  </a:t>
                    </a:r>
                    <a:r>
                      <a:rPr lang="en-US" dirty="0" smtClean="0"/>
                      <a:t>143 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1"/>
            </c:dLbl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1"/>
            <c:showLeaderLines val="0"/>
          </c:dLbls>
          <c:xVal>
            <c:numRef>
              <c:f>Sheet1!$B$4</c:f>
              <c:numCache>
                <c:formatCode>0</c:formatCode>
                <c:ptCount val="1"/>
                <c:pt idx="0">
                  <c:v>12.49</c:v>
                </c:pt>
              </c:numCache>
            </c:numRef>
          </c:xVal>
          <c:yVal>
            <c:numRef>
              <c:f>Sheet1!$C$4</c:f>
              <c:numCache>
                <c:formatCode>0</c:formatCode>
                <c:ptCount val="1"/>
                <c:pt idx="0">
                  <c:v>79.632727447599706</c:v>
                </c:pt>
              </c:numCache>
            </c:numRef>
          </c:yVal>
          <c:bubbleSize>
            <c:numRef>
              <c:f>Sheet1!$D$4</c:f>
              <c:numCache>
                <c:formatCode>_(* #,##0_);_(* \(#,##0\);_(* "-"??_);_(@_)</c:formatCode>
                <c:ptCount val="1"/>
                <c:pt idx="0">
                  <c:v>143116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         N. Africa</c:v>
                </c:pt>
              </c:strCache>
            </c:strRef>
          </c:tx>
          <c:spPr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4.783962768542821E-2"/>
                  <c:y val="-8.0135650742244879E-3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         N. Africa,  </a:t>
                    </a:r>
                    <a:r>
                      <a:rPr lang="en-US" dirty="0" smtClean="0"/>
                      <a:t>21 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1"/>
            </c:dLbl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1"/>
            <c:showLeaderLines val="0"/>
          </c:dLbls>
          <c:xVal>
            <c:numRef>
              <c:f>Sheet1!$B$5</c:f>
              <c:numCache>
                <c:formatCode>0</c:formatCode>
                <c:ptCount val="1"/>
                <c:pt idx="0">
                  <c:v>1.84</c:v>
                </c:pt>
              </c:numCache>
            </c:numRef>
          </c:xVal>
          <c:yVal>
            <c:numRef>
              <c:f>Sheet1!$C$5</c:f>
              <c:numCache>
                <c:formatCode>0</c:formatCode>
                <c:ptCount val="1"/>
                <c:pt idx="0">
                  <c:v>51.151327670747598</c:v>
                </c:pt>
              </c:numCache>
            </c:numRef>
          </c:yVal>
          <c:bubbleSize>
            <c:numRef>
              <c:f>Sheet1!$D$5</c:f>
              <c:numCache>
                <c:formatCode>_(* #,##0_);_(* \(#,##0\);_(* "-"??_);_(@_)</c:formatCode>
                <c:ptCount val="1"/>
                <c:pt idx="0">
                  <c:v>21062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         S.C Asia</c:v>
                </c:pt>
              </c:strCache>
            </c:strRef>
          </c:tx>
          <c:spPr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3.7037037037037035E-2"/>
                  <c:y val="2.4040064249858505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         </a:t>
                    </a:r>
                    <a:r>
                      <a:rPr lang="en-US" dirty="0" smtClean="0"/>
                      <a:t>S.</a:t>
                    </a:r>
                    <a:r>
                      <a:rPr lang="en-US" baseline="0" dirty="0" smtClean="0"/>
                      <a:t> </a:t>
                    </a:r>
                    <a:r>
                      <a:rPr lang="en-US" dirty="0" smtClean="0"/>
                      <a:t>Asia</a:t>
                    </a:r>
                    <a:r>
                      <a:rPr lang="en-US" dirty="0"/>
                      <a:t>,  </a:t>
                    </a:r>
                    <a:r>
                      <a:rPr lang="en-US" dirty="0" smtClean="0"/>
                      <a:t>318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1"/>
            </c:dLbl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1"/>
            <c:showLeaderLines val="0"/>
          </c:dLbls>
          <c:xVal>
            <c:numRef>
              <c:f>Sheet1!$B$6</c:f>
              <c:numCache>
                <c:formatCode>0</c:formatCode>
                <c:ptCount val="1"/>
                <c:pt idx="0">
                  <c:v>27.74</c:v>
                </c:pt>
              </c:numCache>
            </c:numRef>
          </c:xVal>
          <c:yVal>
            <c:numRef>
              <c:f>Sheet1!$C$6</c:f>
              <c:numCache>
                <c:formatCode>0</c:formatCode>
                <c:ptCount val="1"/>
                <c:pt idx="0">
                  <c:v>32.076438183126498</c:v>
                </c:pt>
              </c:numCache>
            </c:numRef>
          </c:yVal>
          <c:bubbleSize>
            <c:numRef>
              <c:f>Sheet1!$D$6</c:f>
              <c:numCache>
                <c:formatCode>_(* #,##0_);_(* \(#,##0\);_(* "-"??_);_(@_)</c:formatCode>
                <c:ptCount val="1"/>
                <c:pt idx="0">
                  <c:v>317858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         S.S Africa</c:v>
                </c:pt>
              </c:strCache>
            </c:strRef>
          </c:tx>
          <c:spPr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0.22530876348789736"/>
                  <c:y val="0.11218696649933969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         S.S Africa,  </a:t>
                    </a:r>
                    <a:r>
                      <a:rPr lang="en-US" dirty="0" smtClean="0"/>
                      <a:t>250 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1"/>
            </c:dLbl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1"/>
            <c:showLeaderLines val="0"/>
          </c:dLbls>
          <c:xVal>
            <c:numRef>
              <c:f>Sheet1!$B$7</c:f>
              <c:numCache>
                <c:formatCode>0</c:formatCode>
                <c:ptCount val="1"/>
                <c:pt idx="0">
                  <c:v>21.81</c:v>
                </c:pt>
              </c:numCache>
            </c:numRef>
          </c:xVal>
          <c:yVal>
            <c:numRef>
              <c:f>Sheet1!$C$7</c:f>
              <c:numCache>
                <c:formatCode>0</c:formatCode>
                <c:ptCount val="1"/>
                <c:pt idx="0">
                  <c:v>37.228633951843598</c:v>
                </c:pt>
              </c:numCache>
            </c:numRef>
          </c:yVal>
          <c:bubbleSize>
            <c:numRef>
              <c:f>Sheet1!$D$7</c:f>
              <c:numCache>
                <c:formatCode>_(* #,##0_);_(* \(#,##0\);_(* "-"??_);_(@_)</c:formatCode>
                <c:ptCount val="1"/>
                <c:pt idx="0">
                  <c:v>249885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         W. Asia</c:v>
                </c:pt>
              </c:strCache>
            </c:strRef>
          </c:tx>
          <c:spPr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5.5555555555555552E-2"/>
                  <c:y val="1.0684472999937113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         W. Asia,  </a:t>
                    </a:r>
                    <a:r>
                      <a:rPr lang="en-US" dirty="0" smtClean="0"/>
                      <a:t>54 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1"/>
            </c:dLbl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1"/>
            <c:showLeaderLines val="0"/>
          </c:dLbls>
          <c:xVal>
            <c:numRef>
              <c:f>Sheet1!$B$8</c:f>
              <c:numCache>
                <c:formatCode>0</c:formatCode>
                <c:ptCount val="1"/>
                <c:pt idx="0">
                  <c:v>4.75</c:v>
                </c:pt>
              </c:numCache>
            </c:numRef>
          </c:xVal>
          <c:yVal>
            <c:numRef>
              <c:f>Sheet1!$C$8</c:f>
              <c:numCache>
                <c:formatCode>0</c:formatCode>
                <c:ptCount val="1"/>
                <c:pt idx="0">
                  <c:v>66.528383125011501</c:v>
                </c:pt>
              </c:numCache>
            </c:numRef>
          </c:yVal>
          <c:bubbleSize>
            <c:numRef>
              <c:f>Sheet1!$D$8</c:f>
              <c:numCache>
                <c:formatCode>_(* #,##0_);_(* \(#,##0\);_(* "-"??_);_(@_)</c:formatCode>
                <c:ptCount val="1"/>
                <c:pt idx="0">
                  <c:v>54426</c:v>
                </c:pt>
              </c:numCache>
            </c:numRef>
          </c:bubbleSize>
          <c:bubble3D val="1"/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        S.E Asia</c:v>
                </c:pt>
              </c:strCache>
            </c:strRef>
          </c:tx>
          <c:spPr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-7.7160493827160462E-2"/>
                  <c:y val="6.14357197496384E-2"/>
                </c:manualLayout>
              </c:layout>
              <c:tx>
                <c:rich>
                  <a:bodyPr/>
                  <a:lstStyle/>
                  <a:p>
                    <a:r>
                      <a:rPr lang="en-US" dirty="0"/>
                      <a:t>        S.E Asia,  </a:t>
                    </a:r>
                    <a:r>
                      <a:rPr lang="en-US" dirty="0" smtClean="0"/>
                      <a:t>64 </a:t>
                    </a:r>
                    <a:endParaRPr lang="en-US" dirty="0"/>
                  </a:p>
                </c:rich>
              </c:tx>
              <c:showLegendKey val="0"/>
              <c:showVal val="0"/>
              <c:showCatName val="0"/>
              <c:showSerName val="1"/>
              <c:showPercent val="0"/>
              <c:showBubbleSize val="1"/>
            </c:dLbl>
            <c:txPr>
              <a:bodyPr/>
              <a:lstStyle/>
              <a:p>
                <a:pPr>
                  <a:defRPr sz="1400"/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1"/>
            <c:showLeaderLines val="0"/>
          </c:dLbls>
          <c:xVal>
            <c:numRef>
              <c:f>Sheet1!$B$9</c:f>
              <c:numCache>
                <c:formatCode>0</c:formatCode>
                <c:ptCount val="1"/>
                <c:pt idx="0">
                  <c:v>5.59</c:v>
                </c:pt>
              </c:numCache>
            </c:numRef>
          </c:xVal>
          <c:yVal>
            <c:numRef>
              <c:f>Sheet1!$C$9</c:f>
              <c:numCache>
                <c:formatCode>0</c:formatCode>
                <c:ptCount val="1"/>
                <c:pt idx="0">
                  <c:v>41.841027722600003</c:v>
                </c:pt>
              </c:numCache>
            </c:numRef>
          </c:yVal>
          <c:bubbleSize>
            <c:numRef>
              <c:f>Sheet1!$D$9</c:f>
              <c:numCache>
                <c:formatCode>_(* #,##0_);_(* \(#,##0\);_(* "-"??_);_(@_)</c:formatCode>
                <c:ptCount val="1"/>
                <c:pt idx="0">
                  <c:v>64073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274893056"/>
        <c:axId val="274994688"/>
      </c:bubbleChart>
      <c:valAx>
        <c:axId val="274893056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 dirty="0" smtClean="0"/>
                  <a:t>Proportion of World Slum Population</a:t>
                </a:r>
                <a:r>
                  <a:rPr lang="en-US" sz="1400" baseline="0" dirty="0" smtClean="0"/>
                  <a:t> (%)</a:t>
                </a:r>
                <a:endParaRPr lang="en-US" sz="1400" dirty="0"/>
              </a:p>
            </c:rich>
          </c:tx>
          <c:layout/>
          <c:overlay val="0"/>
        </c:title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1400"/>
            </a:pPr>
            <a:endParaRPr lang="en-US"/>
          </a:p>
        </c:txPr>
        <c:crossAx val="274994688"/>
        <c:crossesAt val="0"/>
        <c:crossBetween val="midCat"/>
      </c:valAx>
      <c:valAx>
        <c:axId val="2749946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 dirty="0" smtClean="0"/>
                  <a:t>Proportion of Population residing in Urban</a:t>
                </a:r>
                <a:r>
                  <a:rPr lang="en-US" sz="1400" baseline="0" dirty="0" smtClean="0"/>
                  <a:t> Areas</a:t>
                </a:r>
                <a:r>
                  <a:rPr lang="en-US" sz="1400" dirty="0" smtClean="0"/>
                  <a:t> </a:t>
                </a:r>
                <a:endParaRPr lang="en-US" sz="1400" dirty="0"/>
              </a:p>
            </c:rich>
          </c:tx>
          <c:layout/>
          <c:overlay val="0"/>
        </c:title>
        <c:numFmt formatCode="0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74893056"/>
        <c:crossesAt val="0"/>
        <c:crossBetween val="midCat"/>
        <c:majorUnit val="20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3D6AE158-DACB-4BC1-BC4A-D5D4DCBE78F1}" type="datetimeFigureOut">
              <a:rPr lang="en-US" smtClean="0"/>
              <a:t>5/16/2013</a:t>
            </a:fld>
            <a:endParaRPr lang="en-US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1143000" y="685800"/>
            <a:ext cx="4572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A32D1771-8831-4E8B-9E25-18AFF4D6D6B6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30579950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11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12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 smtClean="0"/>
              <a:t>As</a:t>
            </a:r>
            <a:r>
              <a:rPr lang="en-US" baseline="0" dirty="0" smtClean="0"/>
              <a:t> Myanmar aspires to reach today’s coverage in most LAC countries,  Many lessons learned can be learned from the history </a:t>
            </a:r>
            <a:r>
              <a:rPr lang="en-US" baseline="0" smtClean="0"/>
              <a:t>of access </a:t>
            </a:r>
            <a:r>
              <a:rPr lang="en-US" baseline="0" dirty="0" smtClean="0"/>
              <a:t>in these countries. </a:t>
            </a:r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3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baseline="0" dirty="0" smtClean="0"/>
              <a:t>Is a lose-lose situation</a:t>
            </a:r>
          </a:p>
          <a:p>
            <a:r>
              <a:rPr lang="en-US" baseline="0" dirty="0" smtClean="0"/>
              <a:t>Illegal connections do not necessarily mean cheap electricity for users</a:t>
            </a:r>
          </a:p>
          <a:p>
            <a:r>
              <a:rPr lang="en-US" baseline="0" dirty="0" smtClean="0"/>
              <a:t> </a:t>
            </a:r>
          </a:p>
          <a:p>
            <a:r>
              <a:rPr lang="en-US" baseline="0" dirty="0" smtClean="0"/>
              <a:t>Represent a significant  technical and non-technical losses for the utilities. </a:t>
            </a:r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4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085134304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5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6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>
              <a:spcBef>
                <a:spcPct val="50000"/>
              </a:spcBef>
            </a:pPr>
            <a:r>
              <a:rPr lang="en-US" b="1" i="1" dirty="0" err="1" smtClean="0">
                <a:solidFill>
                  <a:schemeClr val="accent1"/>
                </a:solidFill>
              </a:rPr>
              <a:t>Offgrid</a:t>
            </a:r>
            <a:r>
              <a:rPr lang="en-US" b="1" i="1" baseline="0" dirty="0" smtClean="0">
                <a:solidFill>
                  <a:schemeClr val="accent1"/>
                </a:solidFill>
              </a:rPr>
              <a:t> is considered for social  </a:t>
            </a:r>
            <a:endParaRPr lang="en-US" b="1" i="1" dirty="0" smtClean="0">
              <a:solidFill>
                <a:schemeClr val="accent1"/>
              </a:solidFill>
            </a:endParaRPr>
          </a:p>
          <a:p>
            <a:pPr>
              <a:spcBef>
                <a:spcPct val="50000"/>
              </a:spcBef>
            </a:pPr>
            <a:endParaRPr lang="en-US" b="1" i="1" dirty="0" smtClean="0">
              <a:solidFill>
                <a:schemeClr val="accent1"/>
              </a:solidFill>
            </a:endParaRPr>
          </a:p>
          <a:p>
            <a:pPr>
              <a:spcBef>
                <a:spcPct val="50000"/>
              </a:spcBef>
            </a:pPr>
            <a:r>
              <a:rPr lang="en-US" b="1" i="1" dirty="0" err="1" smtClean="0">
                <a:solidFill>
                  <a:schemeClr val="accent1"/>
                </a:solidFill>
              </a:rPr>
              <a:t>Unserved</a:t>
            </a:r>
            <a:r>
              <a:rPr lang="en-US" b="1" i="1" dirty="0" smtClean="0">
                <a:solidFill>
                  <a:schemeClr val="accent1"/>
                </a:solidFill>
              </a:rPr>
              <a:t> urban and rural customers near the grid network is more likely to benefit from sector reforms</a:t>
            </a:r>
          </a:p>
          <a:p>
            <a:pPr>
              <a:spcBef>
                <a:spcPct val="50000"/>
              </a:spcBef>
            </a:pPr>
            <a:r>
              <a:rPr lang="en-US" b="1" i="1" dirty="0" smtClean="0">
                <a:solidFill>
                  <a:schemeClr val="accent1"/>
                </a:solidFill>
              </a:rPr>
              <a:t>Off-grid market is more challenging and requires different approaches</a:t>
            </a:r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7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 smtClean="0"/>
              <a:t>And</a:t>
            </a:r>
            <a:r>
              <a:rPr lang="en-US" baseline="0" dirty="0" smtClean="0"/>
              <a:t> a variety of technologies available</a:t>
            </a:r>
            <a:endParaRPr lang="en-US" dirty="0" smtClean="0"/>
          </a:p>
          <a:p>
            <a:endParaRPr lang="en-US" dirty="0" smtClean="0"/>
          </a:p>
          <a:p>
            <a:r>
              <a:rPr lang="en-US" dirty="0" smtClean="0"/>
              <a:t>Off</a:t>
            </a:r>
            <a:r>
              <a:rPr lang="en-US" baseline="0" dirty="0" smtClean="0"/>
              <a:t> grid</a:t>
            </a:r>
            <a:r>
              <a:rPr lang="en-US" dirty="0" smtClean="0"/>
              <a:t> technologies have</a:t>
            </a:r>
            <a:r>
              <a:rPr lang="en-US" baseline="0" dirty="0" smtClean="0"/>
              <a:t> matured and become </a:t>
            </a:r>
            <a:r>
              <a:rPr lang="en-US" dirty="0" smtClean="0"/>
              <a:t>commercially</a:t>
            </a:r>
            <a:r>
              <a:rPr lang="en-US" baseline="0" dirty="0" smtClean="0"/>
              <a:t> available.  Costs have come down dramatically over the last 15 years.  </a:t>
            </a:r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8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68154862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9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A32D1771-8831-4E8B-9E25-18AFF4D6D6B6}" type="slidenum">
              <a:rPr lang="en-US" smtClean="0"/>
              <a:t>10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826482732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8" Type="http://schemas.openxmlformats.org/officeDocument/2006/relationships/image" Target="../media/image7.jpg"/><Relationship Id="rId3" Type="http://schemas.openxmlformats.org/officeDocument/2006/relationships/image" Target="../media/image2.jpeg"/><Relationship Id="rId7" Type="http://schemas.openxmlformats.org/officeDocument/2006/relationships/image" Target="../media/image6.jpeg"/><Relationship Id="rId2" Type="http://schemas.openxmlformats.org/officeDocument/2006/relationships/image" Target="../media/image1.jpeg"/><Relationship Id="rId1" Type="http://schemas.openxmlformats.org/officeDocument/2006/relationships/slideMaster" Target="../slideMasters/slideMaster1.xml"/><Relationship Id="rId6" Type="http://schemas.openxmlformats.org/officeDocument/2006/relationships/image" Target="../media/image5.jpeg"/><Relationship Id="rId5" Type="http://schemas.openxmlformats.org/officeDocument/2006/relationships/image" Target="../media/image4.jpeg"/><Relationship Id="rId4" Type="http://schemas.openxmlformats.org/officeDocument/2006/relationships/image" Target="../media/image3.jpeg"/><Relationship Id="rId9" Type="http://schemas.openxmlformats.org/officeDocument/2006/relationships/image" Target="../media/image8.jpg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en-US" smtClean="0"/>
              <a:t>Click to edit Master subtitle style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FB4DD1E-59C5-4FEE-AFB0-05C73F1638BF}" type="datetime1">
              <a:rPr lang="en-US" smtClean="0"/>
              <a:t>5/16/2013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079294590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623882C-0E91-4BBC-82DB-17B47A3468D3}" type="datetime1">
              <a:rPr lang="en-US" smtClean="0"/>
              <a:t>5/16/2013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915621818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94BCADA-8160-4259-B47A-BBEFA0F6C859}" type="datetime1">
              <a:rPr lang="en-US" smtClean="0"/>
              <a:t>5/16/2013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055629917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userDrawn="1">
  <p:cSld name="1_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Subtitle 2"/>
          <p:cNvSpPr>
            <a:spLocks noGrp="1"/>
          </p:cNvSpPr>
          <p:nvPr>
            <p:ph type="subTitle" idx="1" hasCustomPrompt="1"/>
          </p:nvPr>
        </p:nvSpPr>
        <p:spPr>
          <a:xfrm>
            <a:off x="196551" y="1295400"/>
            <a:ext cx="5105400" cy="1408176"/>
          </a:xfrm>
        </p:spPr>
        <p:txBody>
          <a:bodyPr anchor="b">
            <a:normAutofit/>
          </a:bodyPr>
          <a:lstStyle>
            <a:lvl1pPr marL="0" indent="0" algn="r">
              <a:buNone/>
              <a:defRPr sz="2200" b="0" cap="small" baseline="0">
                <a:solidFill>
                  <a:schemeClr val="accent6"/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en-US" dirty="0" smtClean="0"/>
              <a:t>Xiaoping Wang</a:t>
            </a:r>
          </a:p>
          <a:p>
            <a:r>
              <a:rPr lang="en-US" dirty="0" smtClean="0"/>
              <a:t>xwang3@worldbank.org</a:t>
            </a:r>
            <a:endParaRPr lang="en-US" dirty="0"/>
          </a:p>
        </p:txBody>
      </p:sp>
      <p:sp>
        <p:nvSpPr>
          <p:cNvPr id="7" name="Rectangle 6"/>
          <p:cNvSpPr/>
          <p:nvPr userDrawn="1"/>
        </p:nvSpPr>
        <p:spPr>
          <a:xfrm>
            <a:off x="7696200" y="2810256"/>
            <a:ext cx="1347850" cy="2209800"/>
          </a:xfrm>
          <a:prstGeom prst="rect">
            <a:avLst/>
          </a:prstGeom>
          <a:solidFill>
            <a:srgbClr val="FFCC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" name="Rectangle 9"/>
          <p:cNvSpPr/>
          <p:nvPr userDrawn="1"/>
        </p:nvSpPr>
        <p:spPr>
          <a:xfrm>
            <a:off x="8755230" y="2469776"/>
            <a:ext cx="304800" cy="152400"/>
          </a:xfrm>
          <a:prstGeom prst="rect">
            <a:avLst/>
          </a:prstGeom>
          <a:solidFill>
            <a:srgbClr val="2B1DE3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rgbClr val="F47F28"/>
              </a:solidFill>
            </a:endParaRPr>
          </a:p>
        </p:txBody>
      </p:sp>
      <p:pic>
        <p:nvPicPr>
          <p:cNvPr id="15" name="Picture 14"/>
          <p:cNvPicPr>
            <a:picLocks noChangeAspect="1"/>
          </p:cNvPicPr>
          <p:nvPr userDrawn="1"/>
        </p:nvPicPr>
        <p:blipFill>
          <a:blip r:embed="rId2" cstate="print"/>
          <a:stretch>
            <a:fillRect/>
          </a:stretch>
        </p:blipFill>
        <p:spPr>
          <a:xfrm>
            <a:off x="48768" y="2771775"/>
            <a:ext cx="7613717" cy="2296266"/>
          </a:xfrm>
          <a:prstGeom prst="rect">
            <a:avLst/>
          </a:prstGeom>
        </p:spPr>
      </p:pic>
      <p:sp>
        <p:nvSpPr>
          <p:cNvPr id="16" name="TextBox 15"/>
          <p:cNvSpPr txBox="1"/>
          <p:nvPr userDrawn="1"/>
        </p:nvSpPr>
        <p:spPr>
          <a:xfrm>
            <a:off x="304800" y="3505200"/>
            <a:ext cx="7010400" cy="76944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US" sz="4400" dirty="0" smtClean="0">
                <a:solidFill>
                  <a:srgbClr val="FFCC00"/>
                </a:solidFill>
              </a:rPr>
              <a:t>Thank</a:t>
            </a:r>
            <a:r>
              <a:rPr lang="en-US" sz="4400" baseline="0" dirty="0" smtClean="0">
                <a:solidFill>
                  <a:srgbClr val="FFCC00"/>
                </a:solidFill>
              </a:rPr>
              <a:t> </a:t>
            </a:r>
            <a:r>
              <a:rPr lang="en-US" sz="4400" baseline="0" dirty="0" smtClean="0">
                <a:solidFill>
                  <a:srgbClr val="FFCC00"/>
                </a:solidFill>
              </a:rPr>
              <a:t>You</a:t>
            </a:r>
            <a:endParaRPr lang="en-US" sz="4400" dirty="0">
              <a:solidFill>
                <a:srgbClr val="FFCC00"/>
              </a:solidFill>
            </a:endParaRPr>
          </a:p>
        </p:txBody>
      </p:sp>
      <p:sp>
        <p:nvSpPr>
          <p:cNvPr id="17" name="TextBox 16"/>
          <p:cNvSpPr txBox="1"/>
          <p:nvPr userDrawn="1"/>
        </p:nvSpPr>
        <p:spPr>
          <a:xfrm>
            <a:off x="0" y="4343400"/>
            <a:ext cx="746760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US" sz="1800" dirty="0" smtClean="0">
                <a:solidFill>
                  <a:schemeClr val="bg1"/>
                </a:solidFill>
              </a:rPr>
              <a:t>The</a:t>
            </a:r>
            <a:r>
              <a:rPr lang="en-US" sz="1800" baseline="0" dirty="0" smtClean="0">
                <a:solidFill>
                  <a:schemeClr val="bg1"/>
                </a:solidFill>
              </a:rPr>
              <a:t> World Bank | 1818 H Street, NW | Washington DC, USA</a:t>
            </a:r>
          </a:p>
          <a:p>
            <a:pPr algn="ctr"/>
            <a:r>
              <a:rPr lang="en-US" sz="1800" baseline="0" dirty="0" smtClean="0">
                <a:solidFill>
                  <a:schemeClr val="bg1"/>
                </a:solidFill>
              </a:rPr>
              <a:t>www.worldbank.org|www.esmap.org</a:t>
            </a:r>
            <a:endParaRPr lang="en-US" sz="1800" dirty="0">
              <a:solidFill>
                <a:schemeClr val="bg1"/>
              </a:solidFill>
            </a:endParaRPr>
          </a:p>
        </p:txBody>
      </p:sp>
      <p:grpSp>
        <p:nvGrpSpPr>
          <p:cNvPr id="25" name="Group 24"/>
          <p:cNvGrpSpPr/>
          <p:nvPr userDrawn="1"/>
        </p:nvGrpSpPr>
        <p:grpSpPr>
          <a:xfrm>
            <a:off x="69845" y="5105399"/>
            <a:ext cx="8988430" cy="1633557"/>
            <a:chOff x="69845" y="5105399"/>
            <a:chExt cx="8988430" cy="1633557"/>
          </a:xfrm>
        </p:grpSpPr>
        <p:pic>
          <p:nvPicPr>
            <p:cNvPr id="26" name="Picture 25"/>
            <p:cNvPicPr>
              <a:picLocks noChangeAspect="1"/>
            </p:cNvPicPr>
            <p:nvPr userDrawn="1"/>
          </p:nvPicPr>
          <p:blipFill>
            <a:blip r:embed="rId3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3649310" y="5105400"/>
              <a:ext cx="1784360" cy="1622144"/>
            </a:xfrm>
            <a:prstGeom prst="rect">
              <a:avLst/>
            </a:prstGeom>
          </p:spPr>
        </p:pic>
        <p:pic>
          <p:nvPicPr>
            <p:cNvPr id="27" name="Picture 26"/>
            <p:cNvPicPr>
              <a:picLocks noChangeAspect="1"/>
            </p:cNvPicPr>
            <p:nvPr userDrawn="1"/>
          </p:nvPicPr>
          <p:blipFill>
            <a:blip r:embed="rId4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69845" y="5105399"/>
              <a:ext cx="1784360" cy="1622145"/>
            </a:xfrm>
            <a:prstGeom prst="rect">
              <a:avLst/>
            </a:prstGeom>
          </p:spPr>
        </p:pic>
        <p:pic>
          <p:nvPicPr>
            <p:cNvPr id="28" name="Picture 27"/>
            <p:cNvPicPr preferRelativeResize="0">
              <a:picLocks noChangeAspect="1"/>
            </p:cNvPicPr>
            <p:nvPr userDrawn="1"/>
          </p:nvPicPr>
          <p:blipFill>
            <a:blip r:embed="rId5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1884107" y="5105400"/>
              <a:ext cx="1730288" cy="1622145"/>
            </a:xfrm>
            <a:prstGeom prst="rect">
              <a:avLst/>
            </a:prstGeom>
            <a:ln>
              <a:noFill/>
            </a:ln>
          </p:spPr>
        </p:pic>
        <p:pic>
          <p:nvPicPr>
            <p:cNvPr id="29" name="Picture 28"/>
            <p:cNvPicPr>
              <a:picLocks noChangeAspect="1"/>
            </p:cNvPicPr>
            <p:nvPr userDrawn="1"/>
          </p:nvPicPr>
          <p:blipFill>
            <a:blip r:embed="rId6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5479085" y="5105400"/>
              <a:ext cx="1771650" cy="1633556"/>
            </a:xfrm>
            <a:prstGeom prst="rect">
              <a:avLst/>
            </a:prstGeom>
          </p:spPr>
        </p:pic>
        <p:pic>
          <p:nvPicPr>
            <p:cNvPr id="30" name="Picture 29"/>
            <p:cNvPicPr>
              <a:picLocks noChangeAspect="1"/>
            </p:cNvPicPr>
            <p:nvPr userDrawn="1"/>
          </p:nvPicPr>
          <p:blipFill>
            <a:blip r:embed="rId7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7286625" y="5105399"/>
              <a:ext cx="1771650" cy="1633556"/>
            </a:xfrm>
            <a:prstGeom prst="rect">
              <a:avLst/>
            </a:prstGeom>
          </p:spPr>
        </p:pic>
      </p:grpSp>
      <p:pic>
        <p:nvPicPr>
          <p:cNvPr id="19" name="Picture 18"/>
          <p:cNvPicPr>
            <a:picLocks noChangeAspect="1"/>
          </p:cNvPicPr>
          <p:nvPr userDrawn="1"/>
        </p:nvPicPr>
        <p:blipFill>
          <a:blip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457243" y="479805"/>
            <a:ext cx="1405842" cy="349250"/>
          </a:xfrm>
          <a:prstGeom prst="rect">
            <a:avLst/>
          </a:prstGeom>
        </p:spPr>
      </p:pic>
      <p:pic>
        <p:nvPicPr>
          <p:cNvPr id="20" name="Picture 19"/>
          <p:cNvPicPr>
            <a:picLocks noChangeAspect="1"/>
          </p:cNvPicPr>
          <p:nvPr userDrawn="1"/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973410" y="419799"/>
            <a:ext cx="494190" cy="46926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02384497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29A9998-5F2A-4612-B64B-9FA813AB334D}" type="datetime1">
              <a:rPr lang="en-US" smtClean="0"/>
              <a:t>5/16/2013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0992391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1F4DF65-1A24-4377-99F5-43AC064788BF}" type="datetime1">
              <a:rPr lang="en-US" smtClean="0"/>
              <a:t>5/16/2013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638807762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02CCD4C-1D9A-4441-861C-FC1E0C0DB612}" type="datetime1">
              <a:rPr lang="en-US" smtClean="0"/>
              <a:t>5/16/2013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26335931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9A42EA89-E995-45AE-8921-87C56B231A13}" type="datetime1">
              <a:rPr lang="en-US" smtClean="0"/>
              <a:t>5/16/2013</a:t>
            </a:fld>
            <a:endParaRPr lang="en-US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121873639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39A4D16-F50D-4E3F-B09C-5A7B7B672C75}" type="datetime1">
              <a:rPr lang="en-US" smtClean="0"/>
              <a:t>5/16/2013</a:t>
            </a:fld>
            <a:endParaRPr lang="en-US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391389040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8FF3734F-BBD0-4347-9792-450583783F6D}" type="datetime1">
              <a:rPr lang="en-US" smtClean="0"/>
              <a:t>5/16/2013</a:t>
            </a:fld>
            <a:endParaRPr lang="en-US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62768847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9AC3E69-7885-416C-99FC-08FD291301F0}" type="datetime1">
              <a:rPr lang="en-US" smtClean="0"/>
              <a:t>5/16/2013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06872885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CD196F23-5B43-4B79-B4CD-A8A2C1AD4D7D}" type="datetime1">
              <a:rPr lang="en-US" smtClean="0"/>
              <a:t>5/16/2013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6674665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theme" Target="../theme/theme1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4D8D514E-1DFD-45B0-9C6D-23ED807C4408}" type="datetime1">
              <a:rPr lang="en-US" smtClean="0"/>
              <a:t>5/16/2013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53A0B08A-124C-4578-9C24-3DBE0797C9F5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558449367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  <p:sldLayoutId id="2147483660" r:id="rId12"/>
  </p:sldLayoutIdLst>
  <p:hf hdr="0" ftr="0" dt="0"/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10.jpeg"/><Relationship Id="rId4" Type="http://schemas.openxmlformats.org/officeDocument/2006/relationships/image" Target="../media/image9.jpeg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8.jpg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21.jpeg"/><Relationship Id="rId4" Type="http://schemas.openxmlformats.org/officeDocument/2006/relationships/image" Target="../media/image8.jpg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22.jpeg"/><Relationship Id="rId4" Type="http://schemas.openxmlformats.org/officeDocument/2006/relationships/image" Target="../media/image8.jpg"/></Relationships>
</file>

<file path=ppt/slides/_rels/slide1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2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11.png"/><Relationship Id="rId4" Type="http://schemas.openxmlformats.org/officeDocument/2006/relationships/image" Target="../media/image8.jpg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12.png"/><Relationship Id="rId4" Type="http://schemas.openxmlformats.org/officeDocument/2006/relationships/image" Target="../media/image8.jp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1.xml"/><Relationship Id="rId5" Type="http://schemas.openxmlformats.org/officeDocument/2006/relationships/chart" Target="../charts/chart1.xml"/><Relationship Id="rId4" Type="http://schemas.openxmlformats.org/officeDocument/2006/relationships/image" Target="../media/image8.jp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8.jp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8.jpg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1.xml"/><Relationship Id="rId4" Type="http://schemas.openxmlformats.org/officeDocument/2006/relationships/image" Target="../media/image8.jpg"/></Relationships>
</file>

<file path=ppt/slides/_rels/slide8.xml.rels><?xml version="1.0" encoding="UTF-8" standalone="yes"?>
<Relationships xmlns="http://schemas.openxmlformats.org/package/2006/relationships"><Relationship Id="rId8" Type="http://schemas.openxmlformats.org/officeDocument/2006/relationships/image" Target="../media/image16.jpeg"/><Relationship Id="rId3" Type="http://schemas.openxmlformats.org/officeDocument/2006/relationships/image" Target="../media/image7.jpg"/><Relationship Id="rId7" Type="http://schemas.openxmlformats.org/officeDocument/2006/relationships/image" Target="../media/image15.jpe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1.xml"/><Relationship Id="rId6" Type="http://schemas.openxmlformats.org/officeDocument/2006/relationships/image" Target="../media/image14.jpeg"/><Relationship Id="rId11" Type="http://schemas.openxmlformats.org/officeDocument/2006/relationships/image" Target="../media/image19.jpg"/><Relationship Id="rId5" Type="http://schemas.openxmlformats.org/officeDocument/2006/relationships/image" Target="../media/image13.jpeg"/><Relationship Id="rId10" Type="http://schemas.openxmlformats.org/officeDocument/2006/relationships/image" Target="../media/image18.jpeg"/><Relationship Id="rId4" Type="http://schemas.openxmlformats.org/officeDocument/2006/relationships/image" Target="../media/image8.jpg"/><Relationship Id="rId9" Type="http://schemas.openxmlformats.org/officeDocument/2006/relationships/image" Target="../media/image17.jpe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20.png"/><Relationship Id="rId4" Type="http://schemas.openxmlformats.org/officeDocument/2006/relationships/image" Target="../media/image8.jp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16" name="Title 1"/>
          <p:cNvSpPr>
            <a:spLocks noGrp="1"/>
          </p:cNvSpPr>
          <p:nvPr>
            <p:ph type="ctrTitle"/>
          </p:nvPr>
        </p:nvSpPr>
        <p:spPr>
          <a:xfrm>
            <a:off x="404027" y="1371600"/>
            <a:ext cx="6172200" cy="1447800"/>
          </a:xfrm>
        </p:spPr>
        <p:txBody>
          <a:bodyPr>
            <a:normAutofit fontScale="90000"/>
          </a:bodyPr>
          <a:lstStyle/>
          <a:p>
            <a:pPr algn="l"/>
            <a:r>
              <a:rPr lang="en-US" sz="3200" b="1" dirty="0">
                <a:solidFill>
                  <a:schemeClr val="accent1"/>
                </a:solidFill>
              </a:rPr>
              <a:t>Electrification Planning and Technology </a:t>
            </a:r>
            <a:r>
              <a:rPr lang="en-US" sz="3200" b="1" dirty="0" smtClean="0">
                <a:solidFill>
                  <a:schemeClr val="accent1"/>
                </a:solidFill>
              </a:rPr>
              <a:t>Options: the Case of Latin America</a:t>
            </a:r>
            <a:endParaRPr lang="en-US" sz="3200" b="1" dirty="0">
              <a:solidFill>
                <a:schemeClr val="accent1"/>
              </a:solidFill>
            </a:endParaRPr>
          </a:p>
        </p:txBody>
      </p:sp>
      <p:sp>
        <p:nvSpPr>
          <p:cNvPr id="3" name="TextBox 2"/>
          <p:cNvSpPr txBox="1"/>
          <p:nvPr/>
        </p:nvSpPr>
        <p:spPr>
          <a:xfrm>
            <a:off x="685800" y="4387825"/>
            <a:ext cx="3285478" cy="130805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>
              <a:spcBef>
                <a:spcPts val="600"/>
              </a:spcBef>
            </a:pPr>
            <a:r>
              <a:rPr lang="en-US" sz="2000" b="1" dirty="0" smtClean="0">
                <a:solidFill>
                  <a:schemeClr val="accent1"/>
                </a:solidFill>
              </a:rPr>
              <a:t>Xiaoping </a:t>
            </a:r>
            <a:r>
              <a:rPr lang="en-US" sz="2000" b="1" dirty="0" smtClean="0">
                <a:solidFill>
                  <a:schemeClr val="accent1"/>
                </a:solidFill>
              </a:rPr>
              <a:t>Wang</a:t>
            </a:r>
          </a:p>
          <a:p>
            <a:pPr algn="ctr">
              <a:spcBef>
                <a:spcPts val="600"/>
              </a:spcBef>
            </a:pPr>
            <a:r>
              <a:rPr lang="en-US" b="1" dirty="0" smtClean="0">
                <a:solidFill>
                  <a:schemeClr val="accent1"/>
                </a:solidFill>
              </a:rPr>
              <a:t>  </a:t>
            </a:r>
            <a:endParaRPr lang="en-US" b="1" dirty="0" smtClean="0">
              <a:solidFill>
                <a:schemeClr val="accent1"/>
              </a:solidFill>
            </a:endParaRPr>
          </a:p>
          <a:p>
            <a:pPr algn="ctr"/>
            <a:r>
              <a:rPr lang="en-US" b="1" dirty="0" smtClean="0">
                <a:solidFill>
                  <a:schemeClr val="accent1"/>
                </a:solidFill>
              </a:rPr>
              <a:t>@ </a:t>
            </a:r>
            <a:r>
              <a:rPr lang="en-US" b="1" dirty="0">
                <a:solidFill>
                  <a:schemeClr val="accent1"/>
                </a:solidFill>
              </a:rPr>
              <a:t>Nay </a:t>
            </a:r>
            <a:r>
              <a:rPr lang="en-US" b="1" dirty="0" err="1" smtClean="0">
                <a:solidFill>
                  <a:schemeClr val="accent1"/>
                </a:solidFill>
              </a:rPr>
              <a:t>Pyi</a:t>
            </a:r>
            <a:r>
              <a:rPr lang="en-US" b="1" dirty="0" smtClean="0">
                <a:solidFill>
                  <a:schemeClr val="accent1"/>
                </a:solidFill>
              </a:rPr>
              <a:t> </a:t>
            </a:r>
            <a:r>
              <a:rPr lang="en-US" b="1" dirty="0">
                <a:solidFill>
                  <a:schemeClr val="accent1"/>
                </a:solidFill>
              </a:rPr>
              <a:t>Taw, Myanmar</a:t>
            </a:r>
          </a:p>
          <a:p>
            <a:pPr algn="ctr"/>
            <a:r>
              <a:rPr lang="en-US" b="1" dirty="0">
                <a:solidFill>
                  <a:schemeClr val="accent1"/>
                </a:solidFill>
              </a:rPr>
              <a:t>May 31, 2013</a:t>
            </a:r>
            <a:endParaRPr lang="en-US" b="1" dirty="0">
              <a:solidFill>
                <a:schemeClr val="accent1"/>
              </a:solidFill>
            </a:endParaRPr>
          </a:p>
        </p:txBody>
      </p:sp>
      <p:pic>
        <p:nvPicPr>
          <p:cNvPr id="29" name="Picture 28"/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30" name="Picture 29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2" name="Slide Number Placeholder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1</a:t>
            </a:fld>
            <a:endParaRPr lang="en-US"/>
          </a:p>
        </p:txBody>
      </p:sp>
      <p:pic>
        <p:nvPicPr>
          <p:cNvPr id="31" name="Picture 14" descr="Verificaciones solares 531"/>
          <p:cNvPicPr>
            <a:picLocks noChangeAspect="1" noChangeArrowheads="1"/>
          </p:cNvPicPr>
          <p:nvPr/>
        </p:nvPicPr>
        <p:blipFill>
          <a:blip r:embed="rId4"/>
          <a:srcRect/>
          <a:stretch>
            <a:fillRect/>
          </a:stretch>
        </p:blipFill>
        <p:spPr bwMode="auto">
          <a:xfrm>
            <a:off x="6992424" y="1569430"/>
            <a:ext cx="2103389" cy="1665183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pic>
        <p:nvPicPr>
          <p:cNvPr id="32" name="Picture 8" descr="CO005S08 World Bank by World Bank Photo Collection."/>
          <p:cNvPicPr>
            <a:picLocks noChangeAspect="1" noChangeArrowheads="1"/>
          </p:cNvPicPr>
          <p:nvPr/>
        </p:nvPicPr>
        <p:blipFill>
          <a:blip r:embed="rId5"/>
          <a:srcRect/>
          <a:stretch>
            <a:fillRect/>
          </a:stretch>
        </p:blipFill>
        <p:spPr bwMode="auto">
          <a:xfrm>
            <a:off x="5029200" y="3234613"/>
            <a:ext cx="4106254" cy="27582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</p:spTree>
    <p:extLst>
      <p:ext uri="{BB962C8B-B14F-4D97-AF65-F5344CB8AC3E}">
        <p14:creationId xmlns:p14="http://schemas.microsoft.com/office/powerpoint/2010/main" val="176278288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10</a:t>
            </a:fld>
            <a:endParaRPr lang="en-US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n-US" sz="2700" b="1" dirty="0" smtClean="0">
                <a:solidFill>
                  <a:schemeClr val="accent1"/>
                </a:solidFill>
                <a:latin typeface="+mj-lt"/>
                <a:ea typeface="+mj-ea"/>
                <a:cs typeface="+mj-cs"/>
              </a:rPr>
              <a:t>A Wide Range of Technologies are Employed in the World Bank Rural Electrification Projects in LAC</a:t>
            </a:r>
            <a:endParaRPr lang="en-US" sz="2700" b="1" dirty="0">
              <a:solidFill>
                <a:schemeClr val="accent1"/>
              </a:solidFill>
              <a:latin typeface="+mj-lt"/>
              <a:ea typeface="+mj-ea"/>
              <a:cs typeface="+mj-cs"/>
            </a:endParaRPr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1326333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graphicFrame>
        <p:nvGraphicFramePr>
          <p:cNvPr id="29" name="Content Placeholder 5"/>
          <p:cNvGraphicFramePr>
            <a:graphicFrameLocks/>
          </p:cNvGraphicFramePr>
          <p:nvPr>
            <p:extLst>
              <p:ext uri="{D42A27DB-BD31-4B8C-83A1-F6EECF244321}">
                <p14:modId xmlns:p14="http://schemas.microsoft.com/office/powerpoint/2010/main" val="999423403"/>
              </p:ext>
            </p:extLst>
          </p:nvPr>
        </p:nvGraphicFramePr>
        <p:xfrm>
          <a:off x="1273178" y="1447800"/>
          <a:ext cx="6696636" cy="4654812"/>
        </p:xfrm>
        <a:graphic>
          <a:graphicData uri="http://schemas.openxmlformats.org/drawingml/2006/table">
            <a:tbl>
              <a:tblPr>
                <a:tableStyleId>{E8B1032C-EA38-4F05-BA0D-38AFFFC7BED3}</a:tableStyleId>
              </a:tblPr>
              <a:tblGrid>
                <a:gridCol w="1137544"/>
                <a:gridCol w="1282929"/>
                <a:gridCol w="1532962"/>
                <a:gridCol w="806824"/>
                <a:gridCol w="1048871"/>
                <a:gridCol w="887506"/>
              </a:tblGrid>
              <a:tr h="762000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b"/>
                      <a:r>
                        <a:rPr lang="en-US" sz="1600" u="none" strike="noStrike" dirty="0" smtClean="0"/>
                        <a:t>Country</a:t>
                      </a:r>
                      <a:endParaRPr lang="en-US" sz="16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b"/>
                      <a:r>
                        <a:rPr lang="en-US" sz="1600" u="none" strike="noStrike" dirty="0" smtClean="0"/>
                        <a:t>Grid Extension</a:t>
                      </a:r>
                      <a:endParaRPr lang="en-US" sz="16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marL="0" marR="0" indent="0" algn="ctr" defTabSz="914400" rtl="0" eaLnBrk="1" fontAlgn="b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600" u="none" strike="noStrike" dirty="0" smtClean="0"/>
                        <a:t>Densification</a:t>
                      </a:r>
                      <a:endParaRPr lang="en-US" sz="16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b"/>
                      <a:r>
                        <a:rPr lang="en-US" sz="1600" u="none" strike="noStrike" dirty="0" smtClean="0"/>
                        <a:t>SHSs</a:t>
                      </a:r>
                      <a:endParaRPr lang="en-US" sz="16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b"/>
                      <a:r>
                        <a:rPr lang="en-US" sz="1600" u="none" strike="noStrike" dirty="0" smtClean="0"/>
                        <a:t>Micro-hydro</a:t>
                      </a:r>
                      <a:endParaRPr lang="en-US" sz="16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b"/>
                      <a:r>
                        <a:rPr lang="en-US" sz="1600" u="none" strike="noStrike" dirty="0" smtClean="0"/>
                        <a:t>Others</a:t>
                      </a:r>
                      <a:endParaRPr lang="en-US" sz="16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</a:tr>
              <a:tr h="492906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marL="0" algn="l" defTabSz="914400" rtl="0" eaLnBrk="1" fontAlgn="t" latinLnBrk="0" hangingPunct="1"/>
                      <a:r>
                        <a:rPr lang="en-US" sz="1400" u="none" strike="noStrike" kern="1200" dirty="0" smtClean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rPr>
                        <a:t>Nicaragua</a:t>
                      </a:r>
                      <a:endParaRPr lang="en-US" sz="1400" u="none" strike="noStrike" kern="1200" dirty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3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marL="0" algn="ctr" defTabSz="914400" rtl="0" eaLnBrk="1" fontAlgn="t" latinLnBrk="0" hangingPunct="1"/>
                      <a:r>
                        <a:rPr lang="en-US" sz="1400" u="none" strike="noStrike" kern="1200" dirty="0" smtClean="0"/>
                        <a:t>PERZA</a:t>
                      </a:r>
                      <a:endParaRPr lang="en-US" sz="1400" b="1" i="0" u="none" strike="noStrike" kern="1200" dirty="0">
                        <a:solidFill>
                          <a:srgbClr val="000000"/>
                        </a:solidFill>
                        <a:latin typeface="Century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 hMerge="1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</a:tr>
              <a:tr h="475498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l" fontAlgn="t"/>
                      <a:r>
                        <a:rPr lang="es-ES_tradnl" sz="1400" u="none" strike="noStrike" dirty="0"/>
                        <a:t>Honduras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marL="0" algn="ctr" defTabSz="914400" rtl="0" eaLnBrk="1" fontAlgn="t" latinLnBrk="0" hangingPunct="1"/>
                      <a:r>
                        <a:rPr lang="es-ES_tradnl" sz="1400" u="none" strike="noStrike" kern="1200" dirty="0" smtClean="0"/>
                        <a:t>PIR + AF </a:t>
                      </a:r>
                      <a:endParaRPr lang="en-US" sz="1400" b="1" i="0" u="none" strike="noStrike" kern="1200" dirty="0">
                        <a:solidFill>
                          <a:srgbClr val="000000"/>
                        </a:solidFill>
                        <a:latin typeface="Century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s-ES_tradnl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3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 smtClean="0"/>
                        <a:t>PIR + AF</a:t>
                      </a:r>
                      <a:endParaRPr lang="en-US" sz="14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</a:tr>
              <a:tr h="414352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l" fontAlgn="t"/>
                      <a:r>
                        <a:rPr lang="es-ES_tradnl" sz="1400" u="none" strike="noStrike" dirty="0"/>
                        <a:t>Bolivia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s-ES_tradnl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2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 smtClean="0"/>
                        <a:t>IDTR I + II</a:t>
                      </a:r>
                      <a:endParaRPr lang="en-US" sz="14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s-ES_tradnl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s-ES_tradnl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</a:tr>
              <a:tr h="492906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l" fontAlgn="t"/>
                      <a:r>
                        <a:rPr lang="es-ES_tradnl" sz="1400" u="none" strike="noStrike" dirty="0" smtClean="0"/>
                        <a:t>Perú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4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 smtClean="0"/>
                        <a:t>FONER I + II</a:t>
                      </a:r>
                      <a:endParaRPr lang="en-US" sz="1400" b="1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s-ES_tradnl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</a:tr>
              <a:tr h="492906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l" fontAlgn="t"/>
                      <a:r>
                        <a:rPr lang="es-ES_tradnl" sz="1400" u="none" strike="noStrike" dirty="0" smtClean="0"/>
                        <a:t>México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/>
                        <a:t> </a:t>
                      </a:r>
                      <a:endParaRPr lang="en-US" sz="1400" b="0" i="0" u="none" strike="noStrike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2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marL="0" algn="ctr" defTabSz="914400" rtl="0" eaLnBrk="1" fontAlgn="t" latinLnBrk="0" hangingPunct="1"/>
                      <a:r>
                        <a:rPr lang="en-US" sz="1400" u="none" strike="noStrike" kern="1200" dirty="0" smtClean="0"/>
                        <a:t>Integrated Energy Services</a:t>
                      </a:r>
                      <a:endParaRPr lang="en-US" sz="1400" b="1" i="0" u="none" strike="noStrike" kern="1200" dirty="0">
                        <a:solidFill>
                          <a:srgbClr val="000000"/>
                        </a:solidFill>
                        <a:latin typeface="Century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</a:tr>
              <a:tr h="538432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l" fontAlgn="t"/>
                      <a:r>
                        <a:rPr lang="en-US" sz="1400" u="none" strike="noStrike" dirty="0" smtClean="0"/>
                        <a:t>Argentina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3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marL="0" algn="ctr" defTabSz="914400" rtl="0" eaLnBrk="1" fontAlgn="t" latinLnBrk="0" hangingPunct="1"/>
                      <a:r>
                        <a:rPr lang="en-US" sz="1400" u="none" strike="noStrike" kern="1200" dirty="0" smtClean="0"/>
                        <a:t>PERMER I + II</a:t>
                      </a:r>
                      <a:endParaRPr lang="en-US" sz="1400" b="1" i="0" u="none" strike="noStrike" kern="1200" dirty="0">
                        <a:solidFill>
                          <a:srgbClr val="000000"/>
                        </a:solidFill>
                        <a:latin typeface="Century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</a:tr>
              <a:tr h="492906"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l" fontAlgn="t"/>
                      <a:r>
                        <a:rPr lang="en-US" sz="1400" u="none" strike="noStrike" dirty="0" smtClean="0"/>
                        <a:t>Chile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r>
                        <a:rPr lang="en-US" sz="1400" u="none" strike="noStrike" dirty="0"/>
                        <a:t> 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3">
                  <a:txBody>
                    <a:bodyPr/>
                    <a:lstStyle>
                      <a:defPPr>
                        <a:defRPr lang="en-US"/>
                      </a:defPPr>
                      <a:lvl1pPr marL="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1pPr>
                      <a:lvl2pPr marL="457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2pPr>
                      <a:lvl3pPr marL="914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3pPr>
                      <a:lvl4pPr marL="1371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4pPr>
                      <a:lvl5pPr marL="18288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5pPr>
                      <a:lvl6pPr marL="22860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6pPr>
                      <a:lvl7pPr marL="27432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7pPr>
                      <a:lvl8pPr marL="32004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8pPr>
                      <a:lvl9pPr marL="3657600" algn="l" defTabSz="914400" rtl="0" eaLnBrk="1" latinLnBrk="0" hangingPunct="1">
                        <a:defRPr sz="1800" kern="1200">
                          <a:solidFill>
                            <a:schemeClr val="dk1"/>
                          </a:solidFill>
                          <a:latin typeface="Century Schoolbook"/>
                        </a:defRPr>
                      </a:lvl9pPr>
                    </a:lstStyle>
                    <a:p>
                      <a:pPr marL="0" algn="ctr" defTabSz="914400" rtl="0" eaLnBrk="1" fontAlgn="t" latinLnBrk="0" hangingPunct="1"/>
                      <a:r>
                        <a:rPr lang="en-US" sz="1400" u="none" strike="noStrike" kern="1200" dirty="0" smtClean="0"/>
                        <a:t>Territorial Development</a:t>
                      </a:r>
                      <a:endParaRPr lang="en-US" sz="1400" b="1" i="0" u="none" strike="noStrike" kern="1200" dirty="0">
                        <a:solidFill>
                          <a:srgbClr val="000000"/>
                        </a:solidFill>
                        <a:latin typeface="Century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  <a:tc hMerge="1"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/>
                </a:tc>
              </a:tr>
              <a:tr h="492906">
                <a:tc>
                  <a:txBody>
                    <a:bodyPr/>
                    <a:lstStyle/>
                    <a:p>
                      <a:pPr algn="l" fontAlgn="t"/>
                      <a:r>
                        <a:rPr lang="en-US" sz="1400" u="none" strike="noStrike" dirty="0" smtClean="0"/>
                        <a:t>Haiti</a:t>
                      </a:r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algn="ctr" defTabSz="914400" rtl="0" eaLnBrk="1" fontAlgn="t" latinLnBrk="0" hangingPunct="1"/>
                      <a:r>
                        <a:rPr lang="en-US" sz="1400" u="none" strike="noStrike" kern="1200" dirty="0" smtClean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rPr>
                        <a:t>REIA</a:t>
                      </a:r>
                      <a:endParaRPr lang="en-US" sz="1400" u="none" strike="noStrike" kern="1200" dirty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algn="ctr" fontAlgn="t"/>
                      <a:endParaRPr lang="en-US" sz="1400" b="0" i="0" u="none" strike="noStrike" dirty="0">
                        <a:solidFill>
                          <a:srgbClr val="000000"/>
                        </a:solidFill>
                        <a:latin typeface="Century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gridSpan="3">
                  <a:txBody>
                    <a:bodyPr/>
                    <a:lstStyle/>
                    <a:p>
                      <a:pPr marL="0" algn="ctr" defTabSz="914400" rtl="0" eaLnBrk="1" fontAlgn="t" latinLnBrk="0" hangingPunct="1"/>
                      <a:r>
                        <a:rPr lang="en-US" sz="1400" u="none" strike="noStrike" kern="1200" dirty="0" smtClean="0">
                          <a:solidFill>
                            <a:schemeClr val="tx1"/>
                          </a:solidFill>
                          <a:latin typeface="+mn-lt"/>
                          <a:ea typeface="+mn-ea"/>
                          <a:cs typeface="+mn-cs"/>
                        </a:rPr>
                        <a:t>REIA</a:t>
                      </a:r>
                      <a:endParaRPr lang="en-US" sz="1400" u="none" strike="noStrike" kern="1200" dirty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endParaRPr>
                    </a:p>
                  </a:txBody>
                  <a:tcPr marL="9705" marR="9705" marT="9525" marB="0" anchor="ctr">
                    <a:solidFill>
                      <a:schemeClr val="bg2">
                        <a:lumMod val="9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122541731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11</a:t>
            </a:fld>
            <a:endParaRPr lang="en-US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n-US" sz="2700" b="1" dirty="0" smtClean="0">
                <a:solidFill>
                  <a:schemeClr val="accent1"/>
                </a:solidFill>
                <a:latin typeface="+mj-lt"/>
                <a:ea typeface="+mj-ea"/>
                <a:cs typeface="+mj-cs"/>
              </a:rPr>
              <a:t>There is Need to Enabling  Better Energy Access in Urban and </a:t>
            </a:r>
            <a:r>
              <a:rPr lang="en-US" sz="2700" b="1" dirty="0" err="1" smtClean="0">
                <a:solidFill>
                  <a:schemeClr val="accent1"/>
                </a:solidFill>
                <a:latin typeface="+mj-lt"/>
                <a:ea typeface="+mj-ea"/>
                <a:cs typeface="+mj-cs"/>
              </a:rPr>
              <a:t>Peri</a:t>
            </a:r>
            <a:r>
              <a:rPr lang="en-US" sz="2700" b="1" dirty="0" smtClean="0">
                <a:solidFill>
                  <a:schemeClr val="accent1"/>
                </a:solidFill>
                <a:latin typeface="+mj-lt"/>
                <a:ea typeface="+mj-ea"/>
                <a:cs typeface="+mj-cs"/>
              </a:rPr>
              <a:t>-Urban Areas</a:t>
            </a:r>
            <a:endParaRPr lang="en-US" sz="2700" b="1" dirty="0">
              <a:solidFill>
                <a:schemeClr val="accent1"/>
              </a:solidFill>
              <a:latin typeface="+mj-lt"/>
              <a:ea typeface="+mj-ea"/>
              <a:cs typeface="+mj-cs"/>
            </a:endParaRPr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1326333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" name="Content Placeholder 2"/>
          <p:cNvSpPr txBox="1">
            <a:spLocks/>
          </p:cNvSpPr>
          <p:nvPr/>
        </p:nvSpPr>
        <p:spPr>
          <a:xfrm>
            <a:off x="457200" y="1555799"/>
            <a:ext cx="5334000" cy="4724399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 marL="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32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1pPr>
            <a:lvl2pPr marL="4572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8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2pPr>
            <a:lvl3pPr marL="9144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4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3pPr>
            <a:lvl4pPr marL="13716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4pPr>
            <a:lvl5pPr marL="18288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5pPr>
            <a:lvl6pPr marL="22860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6pPr>
            <a:lvl7pPr marL="27432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7pPr>
            <a:lvl8pPr marL="32004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8pPr>
            <a:lvl9pPr marL="3657600" indent="0" algn="ctr" defTabSz="914400" rtl="0" eaLnBrk="1" latinLnBrk="0" hangingPunct="1">
              <a:spcBef>
                <a:spcPct val="20000"/>
              </a:spcBef>
              <a:buFont typeface="Arial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9pPr>
          </a:lstStyle>
          <a:p>
            <a:pPr marL="457200" indent="-457200" algn="l">
              <a:buFont typeface="Arial" pitchFamily="34" charset="0"/>
              <a:buChar char="•"/>
            </a:pPr>
            <a:r>
              <a:rPr lang="en-US" sz="2800" dirty="0" smtClean="0">
                <a:solidFill>
                  <a:schemeClr val="accent6"/>
                </a:solidFill>
              </a:rPr>
              <a:t>Link with city development strategies</a:t>
            </a:r>
          </a:p>
          <a:p>
            <a:pPr marL="457200" indent="-457200" algn="l">
              <a:buFont typeface="Arial" pitchFamily="34" charset="0"/>
              <a:buChar char="•"/>
            </a:pPr>
            <a:r>
              <a:rPr lang="en-US" sz="2800" dirty="0" smtClean="0">
                <a:solidFill>
                  <a:schemeClr val="accent6"/>
                </a:solidFill>
              </a:rPr>
              <a:t>Multi stakeholder collaboration</a:t>
            </a:r>
          </a:p>
          <a:p>
            <a:pPr marL="457200" indent="-457200" algn="l">
              <a:buFont typeface="Arial" pitchFamily="34" charset="0"/>
              <a:buChar char="•"/>
            </a:pPr>
            <a:r>
              <a:rPr lang="en-US" sz="2800" dirty="0" smtClean="0">
                <a:solidFill>
                  <a:schemeClr val="accent6"/>
                </a:solidFill>
              </a:rPr>
              <a:t>Strong political will</a:t>
            </a:r>
          </a:p>
          <a:p>
            <a:pPr marL="457200" indent="-457200" algn="l">
              <a:buFont typeface="Arial" pitchFamily="34" charset="0"/>
              <a:buChar char="•"/>
            </a:pPr>
            <a:r>
              <a:rPr lang="en-US" sz="2800" dirty="0" smtClean="0">
                <a:solidFill>
                  <a:schemeClr val="accent6"/>
                </a:solidFill>
              </a:rPr>
              <a:t>A regulatory framework supporting  access for the urban poor</a:t>
            </a:r>
          </a:p>
          <a:p>
            <a:pPr marL="457200" indent="-457200" algn="l">
              <a:buFont typeface="Arial" pitchFamily="34" charset="0"/>
              <a:buChar char="•"/>
            </a:pPr>
            <a:r>
              <a:rPr lang="en-US" sz="2800" dirty="0" smtClean="0">
                <a:solidFill>
                  <a:schemeClr val="accent6"/>
                </a:solidFill>
              </a:rPr>
              <a:t>Change in mindset of slum dwellers</a:t>
            </a:r>
            <a:endParaRPr lang="en-US" sz="2800" dirty="0">
              <a:solidFill>
                <a:schemeClr val="accent6"/>
              </a:solidFill>
            </a:endParaRPr>
          </a:p>
        </p:txBody>
      </p:sp>
      <p:pic>
        <p:nvPicPr>
          <p:cNvPr id="24" name="Content Placeholder 13" descr="slum upgrade_Nairobi.jpg"/>
          <p:cNvPicPr>
            <a:picLocks noChangeAspect="1"/>
          </p:cNvPicPr>
          <p:nvPr/>
        </p:nvPicPr>
        <p:blipFill>
          <a:blip r:embed="rId5" cstate="print"/>
          <a:srcRect t="12460" b="1620"/>
          <a:stretch>
            <a:fillRect/>
          </a:stretch>
        </p:blipFill>
        <p:spPr>
          <a:xfrm>
            <a:off x="6248400" y="2701736"/>
            <a:ext cx="2736421" cy="3165664"/>
          </a:xfrm>
          <a:prstGeom prst="rect">
            <a:avLst/>
          </a:prstGeom>
          <a:ln>
            <a:solidFill>
              <a:schemeClr val="accent5">
                <a:lumMod val="50000"/>
              </a:schemeClr>
            </a:solidFill>
          </a:ln>
        </p:spPr>
      </p:pic>
    </p:spTree>
    <p:extLst>
      <p:ext uri="{BB962C8B-B14F-4D97-AF65-F5344CB8AC3E}">
        <p14:creationId xmlns:p14="http://schemas.microsoft.com/office/powerpoint/2010/main" val="149901592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12</a:t>
            </a:fld>
            <a:endParaRPr lang="en-US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n-US" sz="2700" b="1" dirty="0" smtClean="0">
                <a:solidFill>
                  <a:schemeClr val="accent1"/>
                </a:solidFill>
                <a:latin typeface="+mj-lt"/>
                <a:ea typeface="+mj-ea"/>
                <a:cs typeface="+mj-cs"/>
              </a:rPr>
              <a:t>Summary: Lessons Learned</a:t>
            </a:r>
            <a:endParaRPr lang="en-US" sz="2700" b="1" dirty="0">
              <a:solidFill>
                <a:schemeClr val="accent1"/>
              </a:solidFill>
              <a:latin typeface="+mj-lt"/>
              <a:ea typeface="+mj-ea"/>
              <a:cs typeface="+mj-cs"/>
            </a:endParaRPr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1066800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9" name="Picture 28" descr="C:\Users\Superstar\AppData\Local\Microsoft\Windows\Temporary Internet Files\Content.IE5\A4STG0PM\MP900430643[1].jpg"/>
          <p:cNvPicPr>
            <a:picLocks noChangeAspect="1" noChangeArrowheads="1"/>
          </p:cNvPicPr>
          <p:nvPr/>
        </p:nvPicPr>
        <p:blipFill>
          <a:blip r:embed="rId5" cstate="print"/>
          <a:srcRect/>
          <a:stretch>
            <a:fillRect/>
          </a:stretch>
        </p:blipFill>
        <p:spPr bwMode="auto">
          <a:xfrm>
            <a:off x="6544654" y="2286000"/>
            <a:ext cx="2590800" cy="3048000"/>
          </a:xfrm>
          <a:prstGeom prst="rect">
            <a:avLst/>
          </a:prstGeom>
          <a:noFill/>
        </p:spPr>
      </p:pic>
      <p:sp>
        <p:nvSpPr>
          <p:cNvPr id="10" name="TextBox 9"/>
          <p:cNvSpPr txBox="1"/>
          <p:nvPr/>
        </p:nvSpPr>
        <p:spPr>
          <a:xfrm>
            <a:off x="381001" y="1524000"/>
            <a:ext cx="5867399" cy="375487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spcAft>
                <a:spcPts val="1200"/>
              </a:spcAft>
              <a:buFont typeface="Arial" pitchFamily="34" charset="0"/>
              <a:buChar char="•"/>
            </a:pPr>
            <a:r>
              <a:rPr lang="en-US" dirty="0" smtClean="0">
                <a:solidFill>
                  <a:schemeClr val="accent6"/>
                </a:solidFill>
              </a:rPr>
              <a:t>Political commitment to provision of energy services and social equity is essential</a:t>
            </a:r>
          </a:p>
          <a:p>
            <a:pPr marL="285750" indent="-285750">
              <a:spcAft>
                <a:spcPts val="1200"/>
              </a:spcAft>
              <a:buFont typeface="Arial" pitchFamily="34" charset="0"/>
              <a:buChar char="•"/>
            </a:pPr>
            <a:r>
              <a:rPr lang="en-US" dirty="0" smtClean="0">
                <a:solidFill>
                  <a:schemeClr val="accent6"/>
                </a:solidFill>
              </a:rPr>
              <a:t>Developing planning and implementation capacity  is a key enabler</a:t>
            </a:r>
          </a:p>
          <a:p>
            <a:pPr marL="285750" indent="-285750">
              <a:spcAft>
                <a:spcPts val="1200"/>
              </a:spcAft>
              <a:buFont typeface="Arial" pitchFamily="34" charset="0"/>
              <a:buChar char="•"/>
            </a:pPr>
            <a:r>
              <a:rPr lang="en-US" dirty="0" smtClean="0">
                <a:solidFill>
                  <a:schemeClr val="accent6"/>
                </a:solidFill>
              </a:rPr>
              <a:t>National electrification plan is a guiding document and should be kept updated </a:t>
            </a:r>
          </a:p>
          <a:p>
            <a:pPr marL="285750" indent="-285750">
              <a:spcAft>
                <a:spcPts val="1200"/>
              </a:spcAft>
              <a:buFont typeface="Arial" pitchFamily="34" charset="0"/>
              <a:buChar char="•"/>
            </a:pPr>
            <a:r>
              <a:rPr lang="en-US" dirty="0" smtClean="0">
                <a:solidFill>
                  <a:schemeClr val="accent6"/>
                </a:solidFill>
              </a:rPr>
              <a:t>Off-grid technologies are cost-effective for certain segments of users, and complements grid extension</a:t>
            </a:r>
          </a:p>
          <a:p>
            <a:pPr marL="285750" indent="-285750">
              <a:spcAft>
                <a:spcPts val="1200"/>
              </a:spcAft>
              <a:buFont typeface="Arial" pitchFamily="34" charset="0"/>
              <a:buChar char="•"/>
            </a:pPr>
            <a:r>
              <a:rPr lang="en-US" dirty="0" smtClean="0">
                <a:solidFill>
                  <a:schemeClr val="accent6"/>
                </a:solidFill>
              </a:rPr>
              <a:t>Provision of reliable, sustainable energy services in </a:t>
            </a:r>
            <a:r>
              <a:rPr lang="en-US" dirty="0" err="1" smtClean="0">
                <a:solidFill>
                  <a:schemeClr val="accent6"/>
                </a:solidFill>
              </a:rPr>
              <a:t>peri</a:t>
            </a:r>
            <a:r>
              <a:rPr lang="en-US" dirty="0" smtClean="0">
                <a:solidFill>
                  <a:schemeClr val="accent6"/>
                </a:solidFill>
              </a:rPr>
              <a:t>-urban and urban areas remain great challenges and requires multi-stakeholder, multi-sector approaches. </a:t>
            </a:r>
          </a:p>
        </p:txBody>
      </p:sp>
    </p:spTree>
    <p:extLst>
      <p:ext uri="{BB962C8B-B14F-4D97-AF65-F5344CB8AC3E}">
        <p14:creationId xmlns:p14="http://schemas.microsoft.com/office/powerpoint/2010/main" val="73054531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Box 3"/>
          <p:cNvSpPr txBox="1"/>
          <p:nvPr/>
        </p:nvSpPr>
        <p:spPr>
          <a:xfrm>
            <a:off x="152400" y="1828800"/>
            <a:ext cx="3902735" cy="830997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en-US" sz="2400" dirty="0" smtClean="0">
                <a:solidFill>
                  <a:schemeClr val="accent6"/>
                </a:solidFill>
              </a:rPr>
              <a:t>XIAOPING WANG, </a:t>
            </a:r>
          </a:p>
          <a:p>
            <a:r>
              <a:rPr lang="en-US" sz="2400" dirty="0" smtClean="0">
                <a:solidFill>
                  <a:schemeClr val="accent6"/>
                </a:solidFill>
              </a:rPr>
              <a:t>XWANG3@WORLDBANK.ORG</a:t>
            </a:r>
            <a:endParaRPr lang="en-US" sz="2400" dirty="0">
              <a:solidFill>
                <a:schemeClr val="accent6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6554698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2</a:t>
            </a:fld>
            <a:endParaRPr lang="en-US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152400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s-AR" sz="2700" b="1" dirty="0" err="1" smtClean="0">
                <a:solidFill>
                  <a:schemeClr val="accent1"/>
                </a:solidFill>
              </a:rPr>
              <a:t>Evolution</a:t>
            </a:r>
            <a:r>
              <a:rPr lang="es-AR" sz="2700" b="1" dirty="0" smtClean="0">
                <a:solidFill>
                  <a:schemeClr val="accent1"/>
                </a:solidFill>
              </a:rPr>
              <a:t> of LAC </a:t>
            </a:r>
            <a:r>
              <a:rPr lang="es-AR" sz="2700" b="1" dirty="0" err="1" smtClean="0">
                <a:solidFill>
                  <a:schemeClr val="accent1"/>
                </a:solidFill>
              </a:rPr>
              <a:t>Electricity</a:t>
            </a:r>
            <a:r>
              <a:rPr lang="es-AR" sz="2700" b="1" dirty="0" smtClean="0">
                <a:solidFill>
                  <a:schemeClr val="accent1"/>
                </a:solidFill>
              </a:rPr>
              <a:t> Access: 1970-2010</a:t>
            </a:r>
            <a:endParaRPr lang="es-AR" sz="2200" dirty="0">
              <a:solidFill>
                <a:schemeClr val="accent1"/>
              </a:solidFill>
            </a:endParaRPr>
          </a:p>
        </p:txBody>
      </p:sp>
      <p:pic>
        <p:nvPicPr>
          <p:cNvPr id="19" name="Picture 2"/>
          <p:cNvPicPr>
            <a:picLocks noChangeAspect="1" noChangeArrowheads="1"/>
          </p:cNvPicPr>
          <p:nvPr/>
        </p:nvPicPr>
        <p:blipFill rotWithShape="1">
          <a:blip r:embed="rId5" cstate="print"/>
          <a:srcRect l="14706" t="20217" r="37057" b="39931"/>
          <a:stretch/>
        </p:blipFill>
        <p:spPr bwMode="auto">
          <a:xfrm>
            <a:off x="932706" y="1402673"/>
            <a:ext cx="7252949" cy="39624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  <p:sp>
        <p:nvSpPr>
          <p:cNvPr id="20" name="TextBox 19"/>
          <p:cNvSpPr txBox="1"/>
          <p:nvPr/>
        </p:nvSpPr>
        <p:spPr>
          <a:xfrm>
            <a:off x="685800" y="6200001"/>
            <a:ext cx="1981200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200" dirty="0" smtClean="0"/>
              <a:t>Source: IDB/OLADE</a:t>
            </a:r>
            <a:endParaRPr lang="en-US" sz="1200" dirty="0"/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990600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60615957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3</a:t>
            </a:fld>
            <a:endParaRPr lang="en-US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152400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s-AR" sz="2700" b="1" dirty="0" err="1" smtClean="0">
                <a:solidFill>
                  <a:schemeClr val="accent1"/>
                </a:solidFill>
              </a:rPr>
              <a:t>Electricity</a:t>
            </a:r>
            <a:r>
              <a:rPr lang="es-AR" sz="2700" b="1" dirty="0" smtClean="0">
                <a:solidFill>
                  <a:schemeClr val="accent1"/>
                </a:solidFill>
              </a:rPr>
              <a:t> </a:t>
            </a:r>
            <a:r>
              <a:rPr lang="es-AR" sz="2700" b="1" dirty="0" err="1" smtClean="0">
                <a:solidFill>
                  <a:schemeClr val="accent1"/>
                </a:solidFill>
              </a:rPr>
              <a:t>Coverage</a:t>
            </a:r>
            <a:r>
              <a:rPr lang="es-AR" sz="2700" b="1" dirty="0" smtClean="0">
                <a:solidFill>
                  <a:schemeClr val="accent1"/>
                </a:solidFill>
              </a:rPr>
              <a:t> </a:t>
            </a:r>
            <a:r>
              <a:rPr lang="es-AR" sz="2700" b="1" dirty="0" err="1" smtClean="0">
                <a:solidFill>
                  <a:schemeClr val="accent1"/>
                </a:solidFill>
              </a:rPr>
              <a:t>Varies</a:t>
            </a:r>
            <a:r>
              <a:rPr lang="es-AR" sz="2700" b="1" dirty="0" smtClean="0">
                <a:solidFill>
                  <a:schemeClr val="accent1"/>
                </a:solidFill>
              </a:rPr>
              <a:t> </a:t>
            </a:r>
            <a:r>
              <a:rPr lang="es-AR" sz="2700" b="1" dirty="0" err="1" smtClean="0">
                <a:solidFill>
                  <a:schemeClr val="accent1"/>
                </a:solidFill>
              </a:rPr>
              <a:t>by</a:t>
            </a:r>
            <a:r>
              <a:rPr lang="es-AR" sz="2700" b="1" dirty="0" smtClean="0">
                <a:solidFill>
                  <a:schemeClr val="accent1"/>
                </a:solidFill>
              </a:rPr>
              <a:t> Country: 2010</a:t>
            </a:r>
            <a:endParaRPr lang="es-AR" sz="2200" dirty="0">
              <a:solidFill>
                <a:schemeClr val="accent1"/>
              </a:solidFill>
            </a:endParaRPr>
          </a:p>
        </p:txBody>
      </p:sp>
      <p:sp>
        <p:nvSpPr>
          <p:cNvPr id="20" name="TextBox 19"/>
          <p:cNvSpPr txBox="1"/>
          <p:nvPr/>
        </p:nvSpPr>
        <p:spPr>
          <a:xfrm>
            <a:off x="685800" y="6200001"/>
            <a:ext cx="1981200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200" dirty="0" smtClean="0"/>
              <a:t>Source: IDB/OLADE</a:t>
            </a:r>
            <a:endParaRPr lang="en-US" sz="1200" dirty="0"/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990600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4" name="Picture 2"/>
          <p:cNvPicPr>
            <a:picLocks noChangeAspect="1" noChangeArrowheads="1"/>
          </p:cNvPicPr>
          <p:nvPr/>
        </p:nvPicPr>
        <p:blipFill rotWithShape="1">
          <a:blip r:embed="rId5" cstate="print"/>
          <a:srcRect l="14925" t="23979" r="36567" b="39945"/>
          <a:stretch/>
        </p:blipFill>
        <p:spPr bwMode="auto">
          <a:xfrm>
            <a:off x="927397" y="1752600"/>
            <a:ext cx="7213005" cy="335280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p:spPr>
      </p:pic>
    </p:spTree>
    <p:extLst>
      <p:ext uri="{BB962C8B-B14F-4D97-AF65-F5344CB8AC3E}">
        <p14:creationId xmlns:p14="http://schemas.microsoft.com/office/powerpoint/2010/main" val="83166664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4</a:t>
            </a:fld>
            <a:endParaRPr lang="en-US"/>
          </a:p>
        </p:txBody>
      </p:sp>
      <p:graphicFrame>
        <p:nvGraphicFramePr>
          <p:cNvPr id="18" name="Content Placeholder 3"/>
          <p:cNvGraphicFramePr>
            <a:graphicFrameLocks/>
          </p:cNvGraphicFramePr>
          <p:nvPr>
            <p:extLst>
              <p:ext uri="{D42A27DB-BD31-4B8C-83A1-F6EECF244321}">
                <p14:modId xmlns:p14="http://schemas.microsoft.com/office/powerpoint/2010/main" val="699947073"/>
              </p:ext>
            </p:extLst>
          </p:nvPr>
        </p:nvGraphicFramePr>
        <p:xfrm>
          <a:off x="457200" y="1371600"/>
          <a:ext cx="8229600" cy="4754563"/>
        </p:xfrm>
        <a:graphic>
          <a:graphicData uri="http://schemas.openxmlformats.org/drawingml/2006/chart">
            <c:chart xmlns:c="http://schemas.openxmlformats.org/drawingml/2006/chart" xmlns:r="http://schemas.openxmlformats.org/officeDocument/2006/relationships" r:id="rId5"/>
          </a:graphicData>
        </a:graphic>
      </p:graphicFrame>
      <p:sp>
        <p:nvSpPr>
          <p:cNvPr id="19" name="TextBox 18"/>
          <p:cNvSpPr txBox="1"/>
          <p:nvPr/>
        </p:nvSpPr>
        <p:spPr>
          <a:xfrm>
            <a:off x="0" y="5867400"/>
            <a:ext cx="6248400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1400" i="1" dirty="0" smtClean="0">
                <a:solidFill>
                  <a:srgbClr val="C00000"/>
                </a:solidFill>
              </a:rPr>
              <a:t>Note:  Size of bubble denotes number of slum dwellers (</a:t>
            </a:r>
            <a:r>
              <a:rPr lang="en-US" sz="1400" i="1" dirty="0" smtClean="0">
                <a:solidFill>
                  <a:srgbClr val="C00000"/>
                </a:solidFill>
              </a:rPr>
              <a:t>Million, 2010) </a:t>
            </a:r>
            <a:endParaRPr lang="en-US" sz="1400" i="1" dirty="0" smtClean="0">
              <a:solidFill>
                <a:srgbClr val="C00000"/>
              </a:solidFill>
            </a:endParaRPr>
          </a:p>
          <a:p>
            <a:r>
              <a:rPr lang="en-US" sz="1400" i="1" dirty="0" smtClean="0">
                <a:solidFill>
                  <a:srgbClr val="C00000"/>
                </a:solidFill>
              </a:rPr>
              <a:t>Source: UN Habitat Data </a:t>
            </a:r>
            <a:r>
              <a:rPr lang="en-US" sz="1400" i="1" dirty="0" smtClean="0">
                <a:solidFill>
                  <a:srgbClr val="C00000"/>
                </a:solidFill>
              </a:rPr>
              <a:t>Base </a:t>
            </a:r>
            <a:endParaRPr lang="en-US" sz="1400" i="1" dirty="0">
              <a:solidFill>
                <a:srgbClr val="C00000"/>
              </a:solidFill>
            </a:endParaRPr>
          </a:p>
        </p:txBody>
      </p:sp>
      <p:sp>
        <p:nvSpPr>
          <p:cNvPr id="20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n-US" sz="2700" b="1" dirty="0" smtClean="0">
                <a:solidFill>
                  <a:schemeClr val="accent1"/>
                </a:solidFill>
              </a:rPr>
              <a:t>Urbanization and Slum Dwellers Pose Lose-lose Challenges for Both Users and Service Providers</a:t>
            </a:r>
            <a:endParaRPr lang="en-US" sz="2700" b="1" dirty="0">
              <a:solidFill>
                <a:schemeClr val="accent1"/>
              </a:solidFill>
              <a:latin typeface="+mj-lt"/>
              <a:ea typeface="+mj-ea"/>
              <a:cs typeface="+mj-cs"/>
            </a:endParaRPr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1326333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68881525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5</a:t>
            </a:fld>
            <a:endParaRPr lang="en-US" dirty="0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sz="2700" b="1" dirty="0" smtClean="0">
                <a:solidFill>
                  <a:schemeClr val="accent1"/>
                </a:solidFill>
                <a:latin typeface="+mj-lt"/>
                <a:ea typeface="+mj-ea"/>
                <a:cs typeface="+mj-cs"/>
              </a:rPr>
              <a:t>Access to Electricity is a High Political Priority in LAC</a:t>
            </a:r>
            <a:endParaRPr lang="en-US" sz="2700" b="1" dirty="0">
              <a:solidFill>
                <a:schemeClr val="accent1"/>
              </a:solidFill>
              <a:latin typeface="+mj-lt"/>
              <a:ea typeface="+mj-ea"/>
              <a:cs typeface="+mj-cs"/>
            </a:endParaRPr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1326333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TextBox 9"/>
          <p:cNvSpPr txBox="1"/>
          <p:nvPr/>
        </p:nvSpPr>
        <p:spPr>
          <a:xfrm>
            <a:off x="1257299" y="2209800"/>
            <a:ext cx="7175234" cy="267765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itchFamily="34" charset="0"/>
              <a:buChar char="•"/>
            </a:pPr>
            <a:r>
              <a:rPr lang="en-US" sz="2400" b="1" dirty="0" smtClean="0">
                <a:solidFill>
                  <a:schemeClr val="accent6">
                    <a:lumMod val="75000"/>
                  </a:schemeClr>
                </a:solidFill>
              </a:rPr>
              <a:t>Vision—Social Electrification</a:t>
            </a:r>
          </a:p>
          <a:p>
            <a:pPr marL="285750" indent="-285750">
              <a:buFont typeface="Arial" pitchFamily="34" charset="0"/>
              <a:buChar char="•"/>
            </a:pPr>
            <a:endParaRPr lang="en-US" sz="2400" b="1" dirty="0" smtClean="0">
              <a:solidFill>
                <a:schemeClr val="accent6">
                  <a:lumMod val="75000"/>
                </a:schemeClr>
              </a:solidFill>
            </a:endParaRPr>
          </a:p>
          <a:p>
            <a:pPr marL="285750" indent="-285750">
              <a:buFont typeface="Arial" pitchFamily="34" charset="0"/>
              <a:buChar char="•"/>
            </a:pPr>
            <a:r>
              <a:rPr lang="en-US" sz="2400" b="1" dirty="0" smtClean="0">
                <a:solidFill>
                  <a:schemeClr val="accent6">
                    <a:lumMod val="75000"/>
                  </a:schemeClr>
                </a:solidFill>
              </a:rPr>
              <a:t>Intermediate  Goals</a:t>
            </a:r>
          </a:p>
          <a:p>
            <a:pPr marL="285750" indent="-285750">
              <a:buFont typeface="Arial" pitchFamily="34" charset="0"/>
              <a:buChar char="•"/>
            </a:pPr>
            <a:endParaRPr lang="en-US" sz="2400" b="1" dirty="0" smtClean="0">
              <a:solidFill>
                <a:schemeClr val="accent6">
                  <a:lumMod val="75000"/>
                </a:schemeClr>
              </a:solidFill>
            </a:endParaRPr>
          </a:p>
          <a:p>
            <a:pPr marL="285750" indent="-285750">
              <a:buFont typeface="Arial" pitchFamily="34" charset="0"/>
              <a:buChar char="•"/>
            </a:pPr>
            <a:r>
              <a:rPr lang="en-US" sz="2400" b="1" dirty="0" smtClean="0">
                <a:solidFill>
                  <a:schemeClr val="accent6">
                    <a:lumMod val="75000"/>
                  </a:schemeClr>
                </a:solidFill>
              </a:rPr>
              <a:t>Dedicated Institutions</a:t>
            </a:r>
          </a:p>
          <a:p>
            <a:pPr marL="285750" indent="-285750">
              <a:buFont typeface="Arial" pitchFamily="34" charset="0"/>
              <a:buChar char="•"/>
            </a:pPr>
            <a:endParaRPr lang="en-US" sz="2400" b="1" dirty="0" smtClean="0">
              <a:solidFill>
                <a:schemeClr val="accent6">
                  <a:lumMod val="75000"/>
                </a:schemeClr>
              </a:solidFill>
            </a:endParaRPr>
          </a:p>
          <a:p>
            <a:pPr marL="285750" indent="-285750">
              <a:buFont typeface="Arial" pitchFamily="34" charset="0"/>
              <a:buChar char="•"/>
            </a:pPr>
            <a:r>
              <a:rPr lang="en-US" sz="2400" b="1" dirty="0" smtClean="0">
                <a:solidFill>
                  <a:schemeClr val="accent6">
                    <a:lumMod val="75000"/>
                  </a:schemeClr>
                </a:solidFill>
              </a:rPr>
              <a:t>Mechanisms for Keeping Strategies Updated</a:t>
            </a:r>
          </a:p>
        </p:txBody>
      </p:sp>
    </p:spTree>
    <p:extLst>
      <p:ext uri="{BB962C8B-B14F-4D97-AF65-F5344CB8AC3E}">
        <p14:creationId xmlns:p14="http://schemas.microsoft.com/office/powerpoint/2010/main" val="15993524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6</a:t>
            </a:fld>
            <a:endParaRPr lang="en-US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en-US" sz="2700" b="1" dirty="0" smtClean="0">
                <a:solidFill>
                  <a:schemeClr val="accent1"/>
                </a:solidFill>
              </a:rPr>
              <a:t>Countries with various rates of electrification have developed planning and implementation capacity</a:t>
            </a:r>
            <a:endParaRPr lang="en-US" sz="2700" b="1" dirty="0">
              <a:solidFill>
                <a:schemeClr val="accent1"/>
              </a:solidFill>
              <a:latin typeface="+mj-lt"/>
              <a:ea typeface="+mj-ea"/>
              <a:cs typeface="+mj-cs"/>
            </a:endParaRPr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1326333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graphicFrame>
        <p:nvGraphicFramePr>
          <p:cNvPr id="24" name="Group 167"/>
          <p:cNvGraphicFramePr>
            <a:graphicFrameLocks/>
          </p:cNvGraphicFramePr>
          <p:nvPr>
            <p:extLst>
              <p:ext uri="{D42A27DB-BD31-4B8C-83A1-F6EECF244321}">
                <p14:modId xmlns:p14="http://schemas.microsoft.com/office/powerpoint/2010/main" val="1993784627"/>
              </p:ext>
            </p:extLst>
          </p:nvPr>
        </p:nvGraphicFramePr>
        <p:xfrm>
          <a:off x="228600" y="1752600"/>
          <a:ext cx="8686800" cy="4334447"/>
        </p:xfrm>
        <a:graphic>
          <a:graphicData uri="http://schemas.openxmlformats.org/drawingml/2006/table">
            <a:tbl>
              <a:tblPr/>
              <a:tblGrid>
                <a:gridCol w="1125538"/>
                <a:gridCol w="1206500"/>
                <a:gridCol w="6354762"/>
              </a:tblGrid>
              <a:tr h="366713"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600" b="1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Typology</a:t>
                      </a:r>
                    </a:p>
                  </a:txBody>
                  <a:tcPr anchor="ctr" horzOverflow="overflow">
                    <a:lnL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tx2">
                        <a:lumMod val="40000"/>
                        <a:lumOff val="6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600" b="1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Country</a:t>
                      </a:r>
                    </a:p>
                  </a:txBody>
                  <a:tcPr anchor="ctr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tx2">
                        <a:lumMod val="40000"/>
                        <a:lumOff val="6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600" b="1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Program</a:t>
                      </a:r>
                    </a:p>
                  </a:txBody>
                  <a:tcPr anchor="ctr"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solidFill>
                      <a:schemeClr val="tx2">
                        <a:lumMod val="40000"/>
                        <a:lumOff val="60000"/>
                      </a:schemeClr>
                    </a:solidFill>
                  </a:tcPr>
                </a:tc>
              </a:tr>
              <a:tr h="857250">
                <a:tc rowSpan="3"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600" b="1" i="0" u="none" strike="noStrike" cap="none" normalizeH="0" baseline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Low Access</a:t>
                      </a:r>
                    </a:p>
                  </a:txBody>
                  <a:tcPr anchor="ctr" anchorCtr="1" horzOverflow="overflow">
                    <a:lnL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Nicaragua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National Electrification and Renewable Energy Program (PNESER)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National Fund for the Development of the Electricity Industry (FODIEN)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1" u="none" strike="noStrike" cap="none" normalizeH="0" baseline="0" dirty="0" smtClean="0">
                          <a:ln>
                            <a:noFill/>
                          </a:ln>
                          <a:solidFill>
                            <a:srgbClr val="6600FF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National electrification target</a:t>
                      </a: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: 84% (2017)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</a:tr>
              <a:tr h="587375">
                <a:tc v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0" u="none" strike="noStrike" cap="none" normalizeH="0" baseline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Honduras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National Electrification Plan (PLANARES) – to be updated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Social Electrification Fund (FOSODE)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1" u="none" strike="noStrike" cap="none" normalizeH="0" baseline="0" dirty="0" smtClean="0">
                          <a:ln>
                            <a:noFill/>
                          </a:ln>
                          <a:solidFill>
                            <a:srgbClr val="6600FF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National electrification target</a:t>
                      </a: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: 80% (2015)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</a:tr>
              <a:tr h="857250">
                <a:tc v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0" u="none" strike="noStrike" cap="none" normalizeH="0" baseline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Bolivia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“Electricity for a Decent Living” Program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1" u="none" strike="noStrike" cap="none" normalizeH="0" baseline="0" dirty="0" smtClean="0">
                          <a:ln>
                            <a:noFill/>
                          </a:ln>
                          <a:solidFill>
                            <a:srgbClr val="6600FF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Rural electrification target</a:t>
                      </a: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: 70% (2015); Universal (2025)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1" u="none" strike="noStrike" cap="none" normalizeH="0" baseline="0" dirty="0" smtClean="0">
                          <a:ln>
                            <a:noFill/>
                          </a:ln>
                          <a:solidFill>
                            <a:srgbClr val="6600FF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Urban electrification target</a:t>
                      </a: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: Universal (2015)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</a:tr>
              <a:tr h="857250"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600" b="1" i="0" u="none" strike="noStrike" cap="none" normalizeH="0" baseline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Medium Access</a:t>
                      </a:r>
                    </a:p>
                  </a:txBody>
                  <a:tcPr anchor="ctr" anchorCtr="1" horzOverflow="overflow">
                    <a:lnL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0" u="none" strike="noStrike" cap="none" normalizeH="0" baseline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Peru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National Rural Electrification Plan (PNER)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Cooperation Fund for Social Development (FONCODES)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1" u="none" strike="noStrike" cap="none" normalizeH="0" baseline="0" dirty="0" smtClean="0">
                          <a:ln>
                            <a:noFill/>
                          </a:ln>
                          <a:solidFill>
                            <a:srgbClr val="6600FF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Rural electrification target</a:t>
                      </a: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: 95.8% (2022)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</a:tr>
              <a:tr h="366713"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600" b="1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High Access</a:t>
                      </a:r>
                    </a:p>
                  </a:txBody>
                  <a:tcPr anchor="ctr" anchorCtr="1" horzOverflow="overflow">
                    <a:lnL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ctr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0" u="none" strike="noStrike" cap="none" normalizeH="0" baseline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Brazil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“Electricity for All” Program</a:t>
                      </a:r>
                    </a:p>
                    <a:p>
                      <a:pPr marL="0" marR="0" lvl="0" indent="0" algn="l" defTabSz="914400" rtl="0" eaLnBrk="1" fontAlgn="base" latinLnBrk="0" hangingPunct="1">
                        <a:lnSpc>
                          <a:spcPct val="100000"/>
                        </a:lnSpc>
                        <a:spcBef>
                          <a:spcPct val="20000"/>
                        </a:spcBef>
                        <a:spcAft>
                          <a:spcPct val="0"/>
                        </a:spcAft>
                        <a:buClr>
                          <a:schemeClr val="bg2"/>
                        </a:buClr>
                        <a:buSzPct val="75000"/>
                        <a:buFont typeface="Wingdings" pitchFamily="2" charset="2"/>
                        <a:buNone/>
                        <a:tabLst/>
                      </a:pPr>
                      <a:r>
                        <a:rPr kumimoji="0" lang="en-US" sz="1400" b="1" i="1" u="none" strike="noStrike" cap="none" normalizeH="0" baseline="0" dirty="0" smtClean="0">
                          <a:ln>
                            <a:noFill/>
                          </a:ln>
                          <a:solidFill>
                            <a:srgbClr val="6600FF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National electrification target</a:t>
                      </a:r>
                      <a:r>
                        <a:rPr kumimoji="0" lang="en-US" sz="1400" b="0" i="0" u="none" strike="noStrike" cap="none" normalizeH="0" baseline="0" dirty="0" smtClean="0">
                          <a:ln>
                            <a:noFill/>
                          </a:ln>
                          <a:solidFill>
                            <a:schemeClr val="tx1"/>
                          </a:solidFill>
                          <a:effectLst/>
                          <a:latin typeface="Century" pitchFamily="18" charset="0"/>
                          <a:cs typeface="Arial" pitchFamily="34" charset="0"/>
                        </a:rPr>
                        <a:t>: Universal (2015)</a:t>
                      </a:r>
                    </a:p>
                  </a:txBody>
                  <a:tcPr horzOverflow="overflow">
                    <a:lnL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>
                      <a:noFill/>
                    </a:lnTlToBr>
                    <a:lnBlToTr>
                      <a:noFill/>
                    </a:lnBlToTr>
                    <a:noFill/>
                  </a:tcPr>
                </a:tc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37007533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7</a:t>
            </a:fld>
            <a:endParaRPr lang="en-US"/>
          </a:p>
        </p:txBody>
      </p:sp>
      <p:sp>
        <p:nvSpPr>
          <p:cNvPr id="18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n-US" sz="2400" b="1" dirty="0" smtClean="0">
                <a:solidFill>
                  <a:schemeClr val="accent1"/>
                </a:solidFill>
              </a:rPr>
              <a:t>Off-grid applications are integrated into national electrification plans because of…</a:t>
            </a:r>
            <a:endParaRPr lang="en-US" sz="2400" b="1" dirty="0">
              <a:solidFill>
                <a:schemeClr val="accent1"/>
              </a:solidFill>
            </a:endParaRPr>
          </a:p>
        </p:txBody>
      </p:sp>
      <p:cxnSp>
        <p:nvCxnSpPr>
          <p:cNvPr id="22" name="Straight Connector 21"/>
          <p:cNvCxnSpPr/>
          <p:nvPr/>
        </p:nvCxnSpPr>
        <p:spPr>
          <a:xfrm>
            <a:off x="381000" y="1326333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TextBox 3"/>
          <p:cNvSpPr txBox="1"/>
          <p:nvPr/>
        </p:nvSpPr>
        <p:spPr>
          <a:xfrm>
            <a:off x="1143000" y="1828800"/>
            <a:ext cx="6349874" cy="193899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285750" indent="-285750">
              <a:buFont typeface="Arial" pitchFamily="34" charset="0"/>
              <a:buChar char="•"/>
            </a:pPr>
            <a:r>
              <a:rPr lang="en-US" sz="2400" b="1" dirty="0" smtClean="0">
                <a:solidFill>
                  <a:schemeClr val="accent6"/>
                </a:solidFill>
              </a:rPr>
              <a:t>Social Equity</a:t>
            </a:r>
          </a:p>
          <a:p>
            <a:pPr marL="285750" indent="-285750">
              <a:buFont typeface="Arial" pitchFamily="34" charset="0"/>
              <a:buChar char="•"/>
            </a:pPr>
            <a:endParaRPr lang="en-US" sz="2400" b="1" dirty="0" smtClean="0">
              <a:solidFill>
                <a:schemeClr val="accent6"/>
              </a:solidFill>
            </a:endParaRPr>
          </a:p>
          <a:p>
            <a:pPr marL="285750" indent="-285750">
              <a:buFont typeface="Arial" pitchFamily="34" charset="0"/>
              <a:buChar char="•"/>
            </a:pPr>
            <a:r>
              <a:rPr lang="en-US" sz="2400" b="1" dirty="0" smtClean="0">
                <a:solidFill>
                  <a:schemeClr val="accent6"/>
                </a:solidFill>
              </a:rPr>
              <a:t>Balanced  Regional Development</a:t>
            </a:r>
          </a:p>
          <a:p>
            <a:pPr marL="285750" indent="-285750">
              <a:buFont typeface="Arial" pitchFamily="34" charset="0"/>
              <a:buChar char="•"/>
            </a:pPr>
            <a:endParaRPr lang="en-US" sz="2400" b="1" dirty="0" smtClean="0">
              <a:solidFill>
                <a:schemeClr val="accent6"/>
              </a:solidFill>
            </a:endParaRPr>
          </a:p>
          <a:p>
            <a:pPr marL="285750" indent="-285750">
              <a:buFont typeface="Arial" pitchFamily="34" charset="0"/>
              <a:buChar char="•"/>
            </a:pPr>
            <a:r>
              <a:rPr lang="en-US" sz="2400" b="1" dirty="0" smtClean="0">
                <a:solidFill>
                  <a:schemeClr val="accent6"/>
                </a:solidFill>
              </a:rPr>
              <a:t>Pre-electrification – bicycle vs. Mercedes</a:t>
            </a:r>
            <a:endParaRPr lang="en-US" sz="2400" b="1" dirty="0">
              <a:solidFill>
                <a:schemeClr val="accent6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27689932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grpSp>
        <p:nvGrpSpPr>
          <p:cNvPr id="7" name="Group 5"/>
          <p:cNvGrpSpPr>
            <a:grpSpLocks/>
          </p:cNvGrpSpPr>
          <p:nvPr/>
        </p:nvGrpSpPr>
        <p:grpSpPr bwMode="auto">
          <a:xfrm>
            <a:off x="-533400" y="7429985"/>
            <a:ext cx="9144000" cy="1028197"/>
            <a:chOff x="106527600" y="114152267"/>
            <a:chExt cx="7315200" cy="719233"/>
          </a:xfrm>
        </p:grpSpPr>
        <p:grpSp>
          <p:nvGrpSpPr>
            <p:cNvPr id="8" name="Group 6"/>
            <p:cNvGrpSpPr>
              <a:grpSpLocks/>
            </p:cNvGrpSpPr>
            <p:nvPr/>
          </p:nvGrpSpPr>
          <p:grpSpPr bwMode="auto">
            <a:xfrm>
              <a:off x="106527600" y="114152267"/>
              <a:ext cx="7315200" cy="633080"/>
              <a:chOff x="106527600" y="114152267"/>
              <a:chExt cx="7315200" cy="633080"/>
            </a:xfrm>
          </p:grpSpPr>
          <p:sp>
            <p:nvSpPr>
              <p:cNvPr id="11" name="Freeform 8"/>
              <p:cNvSpPr>
                <a:spLocks/>
              </p:cNvSpPr>
              <p:nvPr/>
            </p:nvSpPr>
            <p:spPr bwMode="auto">
              <a:xfrm>
                <a:off x="106527600" y="114152267"/>
                <a:ext cx="7315200" cy="543069"/>
              </a:xfrm>
              <a:custGeom>
                <a:avLst/>
                <a:gdLst>
                  <a:gd name="T0" fmla="*/ 0 w 2452"/>
                  <a:gd name="T1" fmla="*/ 181 h 181"/>
                  <a:gd name="T2" fmla="*/ 2452 w 2452"/>
                  <a:gd name="T3" fmla="*/ 165 h 181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1">
                    <a:moveTo>
                      <a:pt x="0" y="181"/>
                    </a:moveTo>
                    <a:cubicBezTo>
                      <a:pt x="940" y="0"/>
                      <a:pt x="1828" y="65"/>
                      <a:pt x="2452" y="165"/>
                    </a:cubicBezTo>
                  </a:path>
                </a:pathLst>
              </a:custGeom>
              <a:noFill/>
              <a:ln w="6350" cap="flat" cmpd="sng">
                <a:solidFill>
                  <a:srgbClr val="FFFFFE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  <p:sp>
            <p:nvSpPr>
              <p:cNvPr id="13" name="Freeform 10"/>
              <p:cNvSpPr>
                <a:spLocks/>
              </p:cNvSpPr>
              <p:nvPr/>
            </p:nvSpPr>
            <p:spPr bwMode="auto">
              <a:xfrm>
                <a:off x="106527600" y="114239278"/>
                <a:ext cx="7315200" cy="546069"/>
              </a:xfrm>
              <a:custGeom>
                <a:avLst/>
                <a:gdLst>
                  <a:gd name="T0" fmla="*/ 0 w 2452"/>
                  <a:gd name="T1" fmla="*/ 170 h 182"/>
                  <a:gd name="T2" fmla="*/ 2452 w 2452"/>
                  <a:gd name="T3" fmla="*/ 182 h 182"/>
                </a:gdLst>
                <a:ahLst/>
                <a:cxnLst>
                  <a:cxn ang="0">
                    <a:pos x="T0" y="T1"/>
                  </a:cxn>
                  <a:cxn ang="0">
                    <a:pos x="T2" y="T3"/>
                  </a:cxn>
                </a:cxnLst>
                <a:rect l="0" t="0" r="r" b="b"/>
                <a:pathLst>
                  <a:path w="2452" h="182">
                    <a:moveTo>
                      <a:pt x="0" y="170"/>
                    </a:moveTo>
                    <a:cubicBezTo>
                      <a:pt x="942" y="0"/>
                      <a:pt x="1829" y="75"/>
                      <a:pt x="2452" y="182"/>
                    </a:cubicBezTo>
                  </a:path>
                </a:pathLst>
              </a:custGeom>
              <a:noFill/>
              <a:ln w="15875" cap="flat" cmpd="sng">
                <a:solidFill>
                  <a:srgbClr val="C9D166"/>
                </a:solidFill>
                <a:prstDash val="solid"/>
                <a:miter lim="800000"/>
                <a:headEnd/>
                <a:tailEnd/>
              </a:ln>
              <a:effectLst/>
              <a:extLst>
                <a:ext uri="{909E8E84-426E-40DD-AFC4-6F175D3DCCD1}">
                  <a14:hiddenFill xmlns:a14="http://schemas.microsoft.com/office/drawing/2010/main">
                    <a:solidFill>
                      <a:srgbClr val="FFFFFE"/>
                    </a:solidFill>
                  </a14:hiddenFill>
                </a:ext>
                <a:ext uri="{AF507438-7753-43E0-B8FC-AC1667EBCBE1}">
                  <a14:hiddenEffects xmlns:a14="http://schemas.microsoft.com/office/drawing/2010/main">
                    <a:effectLst>
                      <a:outerShdw dist="35921" dir="2700000" algn="ctr" rotWithShape="0">
                        <a:srgbClr val="8C8682"/>
                      </a:outerShdw>
                    </a:effectLst>
                  </a14:hiddenEffects>
                </a:ext>
              </a:extLst>
            </p:spPr>
            <p:txBody>
              <a:bodyPr vert="horz" wrap="square" lIns="91440" tIns="45720" rIns="91440" bIns="45720" numCol="1" anchor="t" anchorCtr="0" compatLnSpc="1">
                <a:prstTxWarp prst="textNoShape">
                  <a:avLst/>
                </a:prstTxWarp>
              </a:bodyPr>
              <a:lstStyle/>
              <a:p>
                <a:endParaRPr lang="en-US"/>
              </a:p>
            </p:txBody>
          </p:sp>
        </p:grpSp>
        <p:sp>
          <p:nvSpPr>
            <p:cNvPr id="9" name="Text Box 11"/>
            <p:cNvSpPr txBox="1">
              <a:spLocks noChangeArrowheads="1"/>
            </p:cNvSpPr>
            <p:nvPr/>
          </p:nvSpPr>
          <p:spPr bwMode="auto">
            <a:xfrm>
              <a:off x="107099100" y="114642900"/>
              <a:ext cx="6231071" cy="228600"/>
            </a:xfrm>
            <a:prstGeom prst="rect">
              <a:avLst/>
            </a:prstGeom>
            <a:noFill/>
            <a:ln>
              <a:noFill/>
            </a:ln>
            <a:effectLst/>
            <a:extLst>
              <a:ext uri="{909E8E84-426E-40DD-AFC4-6F175D3DCCD1}">
                <a14:hiddenFill xmlns:a14="http://schemas.microsoft.com/office/drawing/2010/main">
                  <a:solidFill>
                    <a:srgbClr val="FFFFFE"/>
                  </a:solidFill>
                </a14:hiddenFill>
              </a:ext>
              <a:ext uri="{91240B29-F687-4F45-9708-019B960494DF}">
                <a14:hiddenLine xmlns:a14="http://schemas.microsoft.com/office/drawing/2010/main" w="9525" algn="in">
                  <a:solidFill>
                    <a:srgbClr val="212120"/>
                  </a:solidFill>
                  <a:miter lim="800000"/>
                  <a:headEnd/>
                  <a:tailEnd/>
                </a14:hiddenLine>
              </a:ext>
              <a:ext uri="{AF507438-7753-43E0-B8FC-AC1667EBCBE1}">
                <a14:hiddenEffects xmlns:a14="http://schemas.microsoft.com/office/drawing/2010/main">
                  <a:effectLst>
                    <a:outerShdw dist="35921" dir="2700000" algn="ctr" rotWithShape="0">
                      <a:srgbClr val="DCD6D4"/>
                    </a:outerShdw>
                  </a:effectLst>
                </a14:hiddenEffects>
              </a:ext>
            </a:extLst>
          </p:spPr>
          <p:txBody>
            <a:bodyPr vert="horz" wrap="square" lIns="36576" tIns="36576" rIns="36576" bIns="36576" numCol="1" anchor="t" anchorCtr="0" compatLnSpc="1">
              <a:prstTxWarp prst="textNoShape">
                <a:avLst/>
              </a:prstTxWarp>
            </a:bodyPr>
            <a:lstStyle/>
            <a:p>
              <a:pPr marL="0" marR="0" lvl="0" indent="0" algn="ctr" defTabSz="914400" rtl="0" eaLnBrk="1" fontAlgn="base" latinLnBrk="0" hangingPunct="1">
                <a:lnSpc>
                  <a:spcPct val="8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r>
                <a:rPr kumimoji="0" lang="en-US" sz="1400" b="0" i="0" u="none" strike="noStrike" cap="none" normalizeH="0" baseline="0" smtClean="0">
                  <a:ln>
                    <a:noFill/>
                  </a:ln>
                  <a:solidFill>
                    <a:srgbClr val="FFFFFE"/>
                  </a:solidFill>
                  <a:effectLst/>
                  <a:latin typeface="Calibri" pitchFamily="34" charset="0"/>
                  <a:cs typeface="Arial" pitchFamily="34" charset="0"/>
                </a:rPr>
                <a:t>A Bridge to a Sustainable Energy Future</a:t>
              </a:r>
              <a:endParaRPr kumimoji="0" lang="en-US" sz="1800" b="0" i="0" u="none" strike="noStrike" cap="none" normalizeH="0" baseline="0" smtClean="0">
                <a:ln>
                  <a:noFill/>
                </a:ln>
                <a:solidFill>
                  <a:schemeClr val="tx1"/>
                </a:solidFill>
                <a:effectLst/>
                <a:latin typeface="Arial" pitchFamily="34" charset="0"/>
                <a:cs typeface="Arial" pitchFamily="34" charset="0"/>
              </a:endParaRPr>
            </a:p>
          </p:txBody>
        </p:sp>
      </p:grp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8</a:t>
            </a:fld>
            <a:endParaRPr lang="en-US"/>
          </a:p>
        </p:txBody>
      </p:sp>
      <p:pic>
        <p:nvPicPr>
          <p:cNvPr id="18" name="Picture 17" descr="SSL10403.JPG"/>
          <p:cNvPicPr>
            <a:picLocks noChangeAspect="1"/>
          </p:cNvPicPr>
          <p:nvPr/>
        </p:nvPicPr>
        <p:blipFill>
          <a:blip r:embed="rId5" cstate="print"/>
          <a:stretch>
            <a:fillRect/>
          </a:stretch>
        </p:blipFill>
        <p:spPr>
          <a:xfrm>
            <a:off x="6148118" y="106348"/>
            <a:ext cx="2971800" cy="2228850"/>
          </a:xfrm>
          <a:prstGeom prst="rect">
            <a:avLst/>
          </a:prstGeom>
        </p:spPr>
      </p:pic>
      <p:pic>
        <p:nvPicPr>
          <p:cNvPr id="19" name="Picture 3"/>
          <p:cNvPicPr>
            <a:picLocks noChangeAspect="1" noChangeArrowheads="1"/>
          </p:cNvPicPr>
          <p:nvPr/>
        </p:nvPicPr>
        <p:blipFill rotWithShape="1">
          <a:blip r:embed="rId6" cstate="print"/>
          <a:srcRect l="25745" t="9102" r="28981" b="13588"/>
          <a:stretch/>
        </p:blipFill>
        <p:spPr bwMode="auto">
          <a:xfrm>
            <a:off x="6278011" y="2667000"/>
            <a:ext cx="2712014" cy="3473010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  <a:effectLst/>
        </p:spPr>
      </p:pic>
      <p:pic>
        <p:nvPicPr>
          <p:cNvPr id="20" name="Picture 10" descr="DSC01800"/>
          <p:cNvPicPr>
            <a:picLocks noChangeAspect="1" noChangeArrowheads="1"/>
          </p:cNvPicPr>
          <p:nvPr/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>
          <a:xfrm>
            <a:off x="3360198" y="2776496"/>
            <a:ext cx="2641600" cy="1981200"/>
          </a:xfrm>
          <a:prstGeom prst="rect">
            <a:avLst/>
          </a:prstGeom>
        </p:spPr>
      </p:pic>
      <p:pic>
        <p:nvPicPr>
          <p:cNvPr id="22" name="Picture 13" descr="CIMG1550"/>
          <p:cNvPicPr>
            <a:picLocks noChangeAspect="1" noChangeArrowheads="1"/>
          </p:cNvPicPr>
          <p:nvPr/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>
          <a:xfrm>
            <a:off x="3360198" y="3923930"/>
            <a:ext cx="2641600" cy="1981200"/>
          </a:xfrm>
          <a:prstGeom prst="rect">
            <a:avLst/>
          </a:prstGeom>
        </p:spPr>
      </p:pic>
      <p:pic>
        <p:nvPicPr>
          <p:cNvPr id="12" name="Picture 11"/>
          <p:cNvPicPr>
            <a:picLocks noChangeAspect="1"/>
          </p:cNvPicPr>
          <p:nvPr/>
        </p:nvPicPr>
        <p:blipFill rotWithShape="1"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31909" t="-7574" r="14517" b="7574"/>
          <a:stretch/>
        </p:blipFill>
        <p:spPr>
          <a:xfrm>
            <a:off x="329953" y="0"/>
            <a:ext cx="2516863" cy="3523488"/>
          </a:xfrm>
          <a:prstGeom prst="rect">
            <a:avLst/>
          </a:prstGeom>
        </p:spPr>
      </p:pic>
      <p:pic>
        <p:nvPicPr>
          <p:cNvPr id="14" name="Picture 13"/>
          <p:cNvPicPr>
            <a:picLocks noChangeAspect="1"/>
          </p:cNvPicPr>
          <p:nvPr/>
        </p:nvPicPr>
        <p:blipFill rotWithShape="1"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18485" r="32882" b="17133"/>
          <a:stretch/>
        </p:blipFill>
        <p:spPr>
          <a:xfrm>
            <a:off x="121390" y="3647992"/>
            <a:ext cx="3084990" cy="2219408"/>
          </a:xfrm>
          <a:prstGeom prst="rect">
            <a:avLst/>
          </a:prstGeom>
        </p:spPr>
      </p:pic>
      <p:pic>
        <p:nvPicPr>
          <p:cNvPr id="16" name="Picture 15"/>
          <p:cNvPicPr>
            <a:picLocks noChangeAspect="1"/>
          </p:cNvPicPr>
          <p:nvPr/>
        </p:nvPicPr>
        <p:blipFill>
          <a:blip r:embed="rId1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046938" y="206756"/>
            <a:ext cx="2988151" cy="246024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78470177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612" y="73797"/>
            <a:ext cx="1405842" cy="349250"/>
          </a:xfrm>
          <a:prstGeom prst="rect">
            <a:avLst/>
          </a:prstGeom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45779" y="13791"/>
            <a:ext cx="494190" cy="469261"/>
          </a:xfrm>
          <a:prstGeom prst="rect">
            <a:avLst/>
          </a:prstGeom>
        </p:spPr>
      </p:pic>
      <p:sp>
        <p:nvSpPr>
          <p:cNvPr id="5" name="Freeform 3"/>
          <p:cNvSpPr>
            <a:spLocks/>
          </p:cNvSpPr>
          <p:nvPr/>
        </p:nvSpPr>
        <p:spPr bwMode="auto">
          <a:xfrm>
            <a:off x="0" y="5867400"/>
            <a:ext cx="9144000" cy="990600"/>
          </a:xfrm>
          <a:custGeom>
            <a:avLst/>
            <a:gdLst>
              <a:gd name="T0" fmla="*/ 2448 w 2448"/>
              <a:gd name="T1" fmla="*/ 389 h 389"/>
              <a:gd name="T2" fmla="*/ 2448 w 2448"/>
              <a:gd name="T3" fmla="*/ 140 h 389"/>
              <a:gd name="T4" fmla="*/ 0 w 2448"/>
              <a:gd name="T5" fmla="*/ 183 h 389"/>
              <a:gd name="T6" fmla="*/ 0 w 2448"/>
              <a:gd name="T7" fmla="*/ 389 h 389"/>
              <a:gd name="T8" fmla="*/ 2448 w 2448"/>
              <a:gd name="T9" fmla="*/ 389 h 389"/>
            </a:gdLst>
            <a:ahLst/>
            <a:cxnLst>
              <a:cxn ang="0">
                <a:pos x="T0" y="T1"/>
              </a:cxn>
              <a:cxn ang="0">
                <a:pos x="T2" y="T3"/>
              </a:cxn>
              <a:cxn ang="0">
                <a:pos x="T4" y="T5"/>
              </a:cxn>
              <a:cxn ang="0">
                <a:pos x="T6" y="T7"/>
              </a:cxn>
              <a:cxn ang="0">
                <a:pos x="T8" y="T9"/>
              </a:cxn>
            </a:cxnLst>
            <a:rect l="0" t="0" r="r" b="b"/>
            <a:pathLst>
              <a:path w="2448" h="389">
                <a:moveTo>
                  <a:pt x="2448" y="389"/>
                </a:moveTo>
                <a:cubicBezTo>
                  <a:pt x="2448" y="140"/>
                  <a:pt x="2448" y="140"/>
                  <a:pt x="2448" y="140"/>
                </a:cubicBezTo>
                <a:cubicBezTo>
                  <a:pt x="1158" y="0"/>
                  <a:pt x="339" y="128"/>
                  <a:pt x="0" y="183"/>
                </a:cubicBezTo>
                <a:cubicBezTo>
                  <a:pt x="0" y="389"/>
                  <a:pt x="0" y="389"/>
                  <a:pt x="0" y="389"/>
                </a:cubicBezTo>
                <a:lnTo>
                  <a:pt x="2448" y="389"/>
                </a:lnTo>
                <a:close/>
              </a:path>
            </a:pathLst>
          </a:custGeom>
          <a:solidFill>
            <a:srgbClr val="18385E"/>
          </a:solidFill>
          <a:ln>
            <a:noFill/>
          </a:ln>
          <a:effectLst/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US"/>
          </a:p>
        </p:txBody>
      </p:sp>
      <p:sp>
        <p:nvSpPr>
          <p:cNvPr id="21" name="Freeform 20"/>
          <p:cNvSpPr/>
          <p:nvPr/>
        </p:nvSpPr>
        <p:spPr>
          <a:xfrm>
            <a:off x="-8546" y="6434975"/>
            <a:ext cx="9152546" cy="239290"/>
          </a:xfrm>
          <a:custGeom>
            <a:avLst/>
            <a:gdLst>
              <a:gd name="connsiteX0" fmla="*/ 0 w 9152546"/>
              <a:gd name="connsiteY0" fmla="*/ 239290 h 239290"/>
              <a:gd name="connsiteX1" fmla="*/ 3640509 w 9152546"/>
              <a:gd name="connsiteY1" fmla="*/ 8 h 239290"/>
              <a:gd name="connsiteX2" fmla="*/ 9152546 w 9152546"/>
              <a:gd name="connsiteY2" fmla="*/ 230745 h 23929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239290">
                <a:moveTo>
                  <a:pt x="0" y="239290"/>
                </a:moveTo>
                <a:cubicBezTo>
                  <a:pt x="1057542" y="120361"/>
                  <a:pt x="2115085" y="1432"/>
                  <a:pt x="3640509" y="8"/>
                </a:cubicBezTo>
                <a:cubicBezTo>
                  <a:pt x="5165933" y="-1416"/>
                  <a:pt x="8983055" y="183743"/>
                  <a:pt x="9152546" y="230745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Freeform 22"/>
          <p:cNvSpPr/>
          <p:nvPr/>
        </p:nvSpPr>
        <p:spPr>
          <a:xfrm>
            <a:off x="0" y="6358024"/>
            <a:ext cx="9144000" cy="264967"/>
          </a:xfrm>
          <a:custGeom>
            <a:avLst/>
            <a:gdLst>
              <a:gd name="connsiteX0" fmla="*/ 0 w 9144000"/>
              <a:gd name="connsiteY0" fmla="*/ 264967 h 264967"/>
              <a:gd name="connsiteX1" fmla="*/ 4443813 w 9144000"/>
              <a:gd name="connsiteY1" fmla="*/ 47 h 264967"/>
              <a:gd name="connsiteX2" fmla="*/ 9144000 w 9144000"/>
              <a:gd name="connsiteY2" fmla="*/ 247875 h 264967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264967">
                <a:moveTo>
                  <a:pt x="0" y="264967"/>
                </a:moveTo>
                <a:cubicBezTo>
                  <a:pt x="1459906" y="133931"/>
                  <a:pt x="2919813" y="2896"/>
                  <a:pt x="4443813" y="47"/>
                </a:cubicBezTo>
                <a:cubicBezTo>
                  <a:pt x="5967813" y="-2802"/>
                  <a:pt x="7555906" y="122536"/>
                  <a:pt x="9144000" y="247875"/>
                </a:cubicBezTo>
              </a:path>
            </a:pathLst>
          </a:cu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" name="Freeform 24"/>
          <p:cNvSpPr/>
          <p:nvPr/>
        </p:nvSpPr>
        <p:spPr>
          <a:xfrm>
            <a:off x="-8546" y="6269844"/>
            <a:ext cx="9144000" cy="489879"/>
          </a:xfrm>
          <a:custGeom>
            <a:avLst/>
            <a:gdLst>
              <a:gd name="connsiteX0" fmla="*/ 0 w 9144000"/>
              <a:gd name="connsiteY0" fmla="*/ 489879 h 489879"/>
              <a:gd name="connsiteX1" fmla="*/ 4050707 w 9144000"/>
              <a:gd name="connsiteY1" fmla="*/ 2769 h 489879"/>
              <a:gd name="connsiteX2" fmla="*/ 9144000 w 9144000"/>
              <a:gd name="connsiteY2" fmla="*/ 327509 h 489879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44000" h="489879">
                <a:moveTo>
                  <a:pt x="0" y="489879"/>
                </a:moveTo>
                <a:cubicBezTo>
                  <a:pt x="1263353" y="259855"/>
                  <a:pt x="2526707" y="29831"/>
                  <a:pt x="4050707" y="2769"/>
                </a:cubicBezTo>
                <a:cubicBezTo>
                  <a:pt x="5574707" y="-24293"/>
                  <a:pt x="7359353" y="151608"/>
                  <a:pt x="9144000" y="327509"/>
                </a:cubicBezTo>
              </a:path>
            </a:pathLst>
          </a:custGeom>
          <a:noFill/>
          <a:ln w="15875">
            <a:solidFill>
              <a:srgbClr val="92D05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" name="Freeform 25"/>
          <p:cNvSpPr/>
          <p:nvPr/>
        </p:nvSpPr>
        <p:spPr>
          <a:xfrm>
            <a:off x="0" y="6364784"/>
            <a:ext cx="9135454" cy="215478"/>
          </a:xfrm>
          <a:custGeom>
            <a:avLst/>
            <a:gdLst>
              <a:gd name="connsiteX0" fmla="*/ 0 w 9135454"/>
              <a:gd name="connsiteY0" fmla="*/ 215478 h 215478"/>
              <a:gd name="connsiteX1" fmla="*/ 4187439 w 9135454"/>
              <a:gd name="connsiteY1" fmla="*/ 1833 h 215478"/>
              <a:gd name="connsiteX2" fmla="*/ 9135454 w 9135454"/>
              <a:gd name="connsiteY2" fmla="*/ 130020 h 21547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35454" h="215478">
                <a:moveTo>
                  <a:pt x="0" y="215478"/>
                </a:moveTo>
                <a:cubicBezTo>
                  <a:pt x="1332431" y="115777"/>
                  <a:pt x="2664863" y="16076"/>
                  <a:pt x="4187439" y="1833"/>
                </a:cubicBezTo>
                <a:cubicBezTo>
                  <a:pt x="5710015" y="-12410"/>
                  <a:pt x="7422734" y="58805"/>
                  <a:pt x="9135454" y="130020"/>
                </a:cubicBezTo>
              </a:path>
            </a:pathLst>
          </a:custGeom>
          <a:noFill/>
          <a:ln w="15875">
            <a:solidFill>
              <a:srgbClr val="FAE12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" name="Freeform 26"/>
          <p:cNvSpPr/>
          <p:nvPr/>
        </p:nvSpPr>
        <p:spPr>
          <a:xfrm>
            <a:off x="-17092" y="6280198"/>
            <a:ext cx="9152546" cy="300064"/>
          </a:xfrm>
          <a:custGeom>
            <a:avLst/>
            <a:gdLst>
              <a:gd name="connsiteX0" fmla="*/ 0 w 9152546"/>
              <a:gd name="connsiteY0" fmla="*/ 223152 h 300064"/>
              <a:gd name="connsiteX1" fmla="*/ 6212793 w 9152546"/>
              <a:gd name="connsiteY1" fmla="*/ 961 h 300064"/>
              <a:gd name="connsiteX2" fmla="*/ 9152546 w 9152546"/>
              <a:gd name="connsiteY2" fmla="*/ 300064 h 300064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</a:cxnLst>
            <a:rect l="l" t="t" r="r" b="b"/>
            <a:pathLst>
              <a:path w="9152546" h="300064">
                <a:moveTo>
                  <a:pt x="0" y="223152"/>
                </a:moveTo>
                <a:cubicBezTo>
                  <a:pt x="2343684" y="105647"/>
                  <a:pt x="4687369" y="-11858"/>
                  <a:pt x="6212793" y="961"/>
                </a:cubicBezTo>
                <a:cubicBezTo>
                  <a:pt x="7738217" y="13780"/>
                  <a:pt x="8445381" y="156922"/>
                  <a:pt x="9152546" y="300064"/>
                </a:cubicBezTo>
              </a:path>
            </a:pathLst>
          </a:custGeom>
          <a:noFill/>
          <a:ln w="15875">
            <a:solidFill>
              <a:schemeClr val="bg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" name="Rectangle 27"/>
          <p:cNvSpPr/>
          <p:nvPr/>
        </p:nvSpPr>
        <p:spPr>
          <a:xfrm>
            <a:off x="0" y="6489599"/>
            <a:ext cx="9144000" cy="369332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cap="small" dirty="0">
                <a:solidFill>
                  <a:schemeClr val="bg1"/>
                </a:solidFill>
              </a:rPr>
              <a:t>A Bridge to </a:t>
            </a:r>
            <a:r>
              <a:rPr lang="en-US" cap="small" dirty="0" smtClean="0">
                <a:solidFill>
                  <a:schemeClr val="bg1"/>
                </a:solidFill>
              </a:rPr>
              <a:t>Universal Energy Access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53A0B08A-124C-4578-9C24-3DBE0797C9F5}" type="slidenum">
              <a:rPr lang="en-US" smtClean="0"/>
              <a:t>9</a:t>
            </a:fld>
            <a:endParaRPr lang="en-US"/>
          </a:p>
        </p:txBody>
      </p:sp>
      <p:pic>
        <p:nvPicPr>
          <p:cNvPr id="24" name="Picture 23"/>
          <p:cNvPicPr/>
          <p:nvPr/>
        </p:nvPicPr>
        <p:blipFill rotWithShape="1">
          <a:blip r:embed="rId5"/>
          <a:srcRect l="16542" t="6446" r="17139" b="6803"/>
          <a:stretch/>
        </p:blipFill>
        <p:spPr>
          <a:xfrm>
            <a:off x="1524000" y="1219200"/>
            <a:ext cx="5867400" cy="4437356"/>
          </a:xfrm>
          <a:prstGeom prst="rect">
            <a:avLst/>
          </a:prstGeom>
        </p:spPr>
      </p:pic>
      <p:cxnSp>
        <p:nvCxnSpPr>
          <p:cNvPr id="30" name="Straight Connector 29"/>
          <p:cNvCxnSpPr/>
          <p:nvPr/>
        </p:nvCxnSpPr>
        <p:spPr>
          <a:xfrm>
            <a:off x="381000" y="1326333"/>
            <a:ext cx="8305800" cy="0"/>
          </a:xfrm>
          <a:prstGeom prst="line">
            <a:avLst/>
          </a:prstGeom>
          <a:ln w="38100"/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1" name="Title 3"/>
          <p:cNvSpPr txBox="1">
            <a:spLocks/>
          </p:cNvSpPr>
          <p:nvPr/>
        </p:nvSpPr>
        <p:spPr>
          <a:xfrm>
            <a:off x="304800" y="249902"/>
            <a:ext cx="80010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ctr" defTabSz="914400" rtl="0" eaLnBrk="1" latinLnBrk="0" hangingPunct="1"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l"/>
            <a:r>
              <a:rPr lang="en-US" sz="2400" b="1" dirty="0" smtClean="0">
                <a:solidFill>
                  <a:schemeClr val="accent1"/>
                </a:solidFill>
              </a:rPr>
              <a:t>Different Technology Options are Taken into Account in Least Cost Electrification Planning</a:t>
            </a:r>
            <a:endParaRPr lang="en-US" sz="2400" b="1" dirty="0">
              <a:solidFill>
                <a:schemeClr val="accent1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4222797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356</TotalTime>
  <Words>791</Words>
  <Application>Microsoft Office PowerPoint</Application>
  <PresentationFormat>On-screen Show (4:3)</PresentationFormat>
  <Paragraphs>173</Paragraphs>
  <Slides>13</Slides>
  <Notes>11</Notes>
  <HiddenSlides>0</HiddenSlides>
  <MMClips>0</MMClip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13</vt:i4>
      </vt:variant>
    </vt:vector>
  </HeadingPairs>
  <TitlesOfParts>
    <vt:vector size="14" baseType="lpstr">
      <vt:lpstr>Office Theme</vt:lpstr>
      <vt:lpstr>Electrification Planning and Technology Options: the Case of Latin America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  <vt:lpstr>PowerPoint Presentation</vt:lpstr>
    </vt:vector>
  </TitlesOfParts>
  <Company>The World Bank Group</Company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Xiaoping Wang</dc:creator>
  <cp:lastModifiedBy>Xiaoping Wang</cp:lastModifiedBy>
  <cp:revision>35</cp:revision>
  <cp:lastPrinted>2013-05-16T19:49:42Z</cp:lastPrinted>
  <dcterms:created xsi:type="dcterms:W3CDTF">2013-05-16T16:35:06Z</dcterms:created>
  <dcterms:modified xsi:type="dcterms:W3CDTF">2013-05-16T22:31:29Z</dcterms:modified>
</cp:coreProperties>
</file>